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hint="eastAsia" w:ascii="宋体" w:hAnsi="宋体" w:eastAsia="宋体" w:cs="宋体"/>
          <w:b/>
          <w:sz w:val="32"/>
          <w:szCs w:val="32"/>
        </w:rPr>
      </w:pPr>
      <w:r>
        <w:rPr>
          <w:rFonts w:hint="eastAsia" w:ascii="宋体" w:hAnsi="宋体" w:eastAsia="宋体" w:cs="宋体"/>
          <w:b/>
          <w:sz w:val="32"/>
          <w:szCs w:val="32"/>
        </w:rPr>
        <w:t>上海银行股份有限公司2022年上半年资本充足率报告</w:t>
      </w:r>
    </w:p>
    <w:p>
      <w:pPr>
        <w:pStyle w:val="9"/>
        <w:jc w:val="center"/>
        <w:rPr>
          <w:rFonts w:hint="eastAsia" w:ascii="仿宋_GB2312" w:hAnsi="仿宋_GB2312" w:eastAsia="仿宋_GB2312" w:cs="仿宋_GB2312"/>
          <w:sz w:val="28"/>
          <w:szCs w:val="28"/>
        </w:rPr>
      </w:pPr>
      <w:r>
        <w:rPr>
          <w:color w:val="auto"/>
          <w:lang w:val="zh-CN"/>
        </w:rPr>
        <w:t>目</w:t>
      </w:r>
      <w:r>
        <w:rPr>
          <w:rFonts w:hint="eastAsia"/>
          <w:color w:val="auto"/>
          <w:lang w:val="en-US" w:eastAsia="zh-CN"/>
        </w:rPr>
        <w:t xml:space="preserve"> </w:t>
      </w:r>
      <w:r>
        <w:rPr>
          <w:color w:val="auto"/>
          <w:lang w:val="zh-CN"/>
        </w:rPr>
        <w:t>录</w:t>
      </w:r>
    </w:p>
    <w:p>
      <w:pPr>
        <w:pStyle w:val="4"/>
        <w:tabs>
          <w:tab w:val="right" w:leader="dot" w:pos="8820"/>
        </w:tabs>
        <w:spacing w:after="0" w:line="440" w:lineRule="exact"/>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TOC \o "1-3" \h \z \u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"_Toc44399883"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一、资本及资本充足率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_Toc44399883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5"/>
        <w:tabs>
          <w:tab w:val="right" w:leader="dot" w:pos="8820"/>
          <w:tab w:val="clear" w:pos="8948"/>
        </w:tabs>
        <w:spacing w:after="0" w:line="440" w:lineRule="exact"/>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"_Toc44399884"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1、资本充足率计算范围</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_Toc44399884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5"/>
        <w:tabs>
          <w:tab w:val="right" w:leader="dot" w:pos="8820"/>
          <w:tab w:val="clear" w:pos="8948"/>
        </w:tabs>
        <w:spacing w:after="0" w:line="440" w:lineRule="exact"/>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"_Toc44399885"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2、资本充足水平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_Toc44399885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5"/>
        <w:tabs>
          <w:tab w:val="right" w:leader="dot" w:pos="8820"/>
          <w:tab w:val="clear" w:pos="8948"/>
        </w:tabs>
        <w:spacing w:after="0" w:line="440" w:lineRule="exact"/>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"_Toc44399886"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3、风险加权资产计量</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_Toc44399886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4"/>
        <w:tabs>
          <w:tab w:val="right" w:leader="dot" w:pos="8820"/>
        </w:tabs>
        <w:spacing w:after="0" w:line="440" w:lineRule="exact"/>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"_Toc44399887"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二、信用风险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_Toc44399887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5"/>
        <w:tabs>
          <w:tab w:val="right" w:leader="dot" w:pos="8820"/>
          <w:tab w:val="clear" w:pos="8948"/>
        </w:tabs>
        <w:spacing w:after="0" w:line="440" w:lineRule="exact"/>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"_Toc44399888"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1、信用风险暴露</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_Toc44399888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5"/>
        <w:tabs>
          <w:tab w:val="right" w:leader="dot" w:pos="8820"/>
          <w:tab w:val="clear" w:pos="8948"/>
        </w:tabs>
        <w:spacing w:after="0" w:line="440" w:lineRule="exact"/>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"_Toc44399889"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2、信用风险缓释</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_Toc44399889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5"/>
        <w:tabs>
          <w:tab w:val="right" w:leader="dot" w:pos="8820"/>
          <w:tab w:val="clear" w:pos="8948"/>
        </w:tabs>
        <w:spacing w:after="0" w:line="440" w:lineRule="exact"/>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"_Toc44399890"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3、贷款质量及贷款损失准备</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_Toc44399890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5"/>
        <w:tabs>
          <w:tab w:val="right" w:leader="dot" w:pos="8820"/>
          <w:tab w:val="clear" w:pos="8948"/>
        </w:tabs>
        <w:spacing w:after="0" w:line="440" w:lineRule="exact"/>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"_Toc44399891"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4、交易对手信用风险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_Toc44399891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5"/>
        <w:tabs>
          <w:tab w:val="right" w:leader="dot" w:pos="8820"/>
          <w:tab w:val="clear" w:pos="8948"/>
        </w:tabs>
        <w:spacing w:after="0" w:line="440" w:lineRule="exact"/>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"_Toc44399892"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5、资产证券化风险暴露余额</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_Toc44399892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4"/>
        <w:tabs>
          <w:tab w:val="right" w:leader="dot" w:pos="8820"/>
        </w:tabs>
        <w:spacing w:after="0" w:line="440" w:lineRule="exact"/>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"_Toc44399893"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三、市场风险资本要求</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_Toc44399893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4"/>
        <w:tabs>
          <w:tab w:val="right" w:leader="dot" w:pos="8820"/>
        </w:tabs>
        <w:spacing w:after="0" w:line="440" w:lineRule="exact"/>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"_Toc44399894"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四、操作风险情况</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_Toc44399894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4"/>
        <w:tabs>
          <w:tab w:val="right" w:leader="dot" w:pos="8820"/>
        </w:tabs>
        <w:spacing w:after="0" w:line="440" w:lineRule="exact"/>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"_Toc44399895"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五、银行账簿利率风险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_Toc44399895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4"/>
        <w:tabs>
          <w:tab w:val="right" w:leader="dot" w:pos="8820"/>
        </w:tabs>
        <w:spacing w:after="0" w:line="440" w:lineRule="exact"/>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"_Toc44399896"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六、银行账簿股权风险</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_Toc44399896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pStyle w:val="4"/>
        <w:tabs>
          <w:tab w:val="right" w:leader="dot" w:pos="8820"/>
        </w:tabs>
        <w:spacing w:after="0" w:line="440" w:lineRule="exact"/>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\l "_Toc44399897"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附件：资本构成信息附表</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PAGEREF _Toc44399897 \h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10</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fldChar w:fldCharType="end"/>
      </w:r>
    </w:p>
    <w:p>
      <w:pPr>
        <w:spacing w:line="440" w:lineRule="exact"/>
      </w:pPr>
      <w:r>
        <w:rPr>
          <w:rFonts w:hint="eastAsia" w:ascii="仿宋_GB2312" w:hAnsi="仿宋_GB2312" w:eastAsia="仿宋_GB2312" w:cs="仿宋_GB2312"/>
          <w:b/>
          <w:bCs/>
          <w:sz w:val="28"/>
          <w:szCs w:val="28"/>
          <w:lang w:val="zh-CN"/>
        </w:rPr>
        <w:fldChar w:fldCharType="end"/>
      </w:r>
    </w:p>
    <w:p>
      <w:pPr>
        <w:spacing w:line="460" w:lineRule="exact"/>
        <w:ind w:firstLine="803" w:firstLineChars="200"/>
        <w:jc w:val="center"/>
        <w:rPr>
          <w:rFonts w:ascii="仿宋_GB2312" w:eastAsia="仿宋_GB2312"/>
          <w:b/>
          <w:sz w:val="40"/>
          <w:szCs w:val="28"/>
        </w:rPr>
      </w:pPr>
    </w:p>
    <w:p>
      <w:pPr>
        <w:spacing w:line="460" w:lineRule="exact"/>
        <w:rPr>
          <w:rFonts w:ascii="仿宋_GB2312" w:hAnsi="仿宋_GB2312" w:eastAsia="仿宋_GB2312" w:cs="仿宋_GB2312"/>
          <w:b/>
          <w:bCs/>
          <w:sz w:val="28"/>
          <w:szCs w:val="28"/>
        </w:rPr>
      </w:pPr>
      <w:r>
        <w:rPr>
          <w:rFonts w:ascii="仿宋_GB2312" w:eastAsia="仿宋_GB2312"/>
          <w:b/>
          <w:sz w:val="40"/>
          <w:szCs w:val="28"/>
        </w:rPr>
        <w:br w:type="page"/>
      </w:r>
      <w:bookmarkStart w:id="0" w:name="_Toc44399883"/>
      <w:r>
        <w:rPr>
          <w:rFonts w:hint="eastAsia" w:ascii="仿宋_GB2312" w:eastAsia="仿宋_GB2312"/>
          <w:b/>
          <w:sz w:val="28"/>
          <w:szCs w:val="28"/>
        </w:rPr>
        <w:t>　　</w:t>
      </w:r>
      <w:r>
        <w:rPr>
          <w:rFonts w:hint="eastAsia" w:ascii="仿宋_GB2312" w:hAnsi="仿宋_GB2312" w:eastAsia="仿宋_GB2312" w:cs="仿宋_GB2312"/>
          <w:b/>
          <w:bCs/>
          <w:sz w:val="28"/>
          <w:szCs w:val="28"/>
        </w:rPr>
        <w:t>一、资本及资本充足率</w:t>
      </w:r>
      <w:bookmarkEnd w:id="0"/>
    </w:p>
    <w:p>
      <w:pPr>
        <w:pStyle w:val="3"/>
      </w:pPr>
      <w:bookmarkStart w:id="1" w:name="_Toc44399884"/>
      <w:r>
        <w:rPr>
          <w:rFonts w:hint="eastAsia"/>
        </w:rPr>
        <w:t>1、资本充足率计算范围</w:t>
      </w:r>
      <w:bookmarkEnd w:id="1"/>
      <w:r>
        <w:rPr>
          <w:rFonts w:hint="eastAsia"/>
        </w:rPr>
        <w:t xml:space="preserve"> </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本行根据《商业银行资本管理办法（试行）》</w:t>
      </w:r>
      <w:r>
        <w:rPr>
          <w:rFonts w:hint="eastAsia" w:ascii="仿宋_GB2312" w:eastAsia="仿宋_GB2312"/>
          <w:sz w:val="28"/>
          <w:szCs w:val="28"/>
          <w:lang w:eastAsia="zh-CN"/>
        </w:rPr>
        <w:t>（以下简称</w:t>
      </w:r>
      <w:r>
        <w:rPr>
          <w:rFonts w:hint="eastAsia" w:ascii="仿宋_GB2312" w:eastAsia="仿宋_GB2312"/>
          <w:sz w:val="28"/>
          <w:szCs w:val="28"/>
        </w:rPr>
        <w:t>《资本管理办法》</w:t>
      </w:r>
      <w:r>
        <w:rPr>
          <w:rFonts w:hint="eastAsia" w:ascii="仿宋_GB2312" w:eastAsia="仿宋_GB2312"/>
          <w:sz w:val="28"/>
          <w:szCs w:val="28"/>
          <w:lang w:eastAsia="zh-CN"/>
        </w:rPr>
        <w:t>）</w:t>
      </w:r>
      <w:r>
        <w:rPr>
          <w:rFonts w:hint="eastAsia" w:ascii="仿宋_GB2312" w:eastAsia="仿宋_GB2312"/>
          <w:sz w:val="28"/>
          <w:szCs w:val="28"/>
        </w:rPr>
        <w:t>计算各级资本充足率。并表资本充足率计算范围包括本行以及符合《资本管理办法》规定的本行直接或间接投资的金融机构。</w:t>
      </w:r>
    </w:p>
    <w:p>
      <w:pPr>
        <w:pStyle w:val="10"/>
        <w:ind w:firstLine="0" w:firstLineChars="0"/>
        <w:jc w:val="right"/>
      </w:pPr>
      <w:r>
        <w:rPr>
          <w:rFonts w:hint="eastAsia"/>
        </w:rPr>
        <w:t>单位：百万元人民币，%</w:t>
      </w:r>
    </w:p>
    <w:tbl>
      <w:tblPr>
        <w:tblStyle w:val="6"/>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3827"/>
        <w:gridCol w:w="1296"/>
        <w:gridCol w:w="1196"/>
        <w:gridCol w:w="108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99" w:type="dxa"/>
            <w:noWrap w:val="0"/>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序号</w:t>
            </w:r>
          </w:p>
        </w:tc>
        <w:tc>
          <w:tcPr>
            <w:tcW w:w="3827" w:type="dxa"/>
            <w:noWrap w:val="0"/>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被投资机构名称</w:t>
            </w:r>
          </w:p>
        </w:tc>
        <w:tc>
          <w:tcPr>
            <w:tcW w:w="1296" w:type="dxa"/>
            <w:noWrap w:val="0"/>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投资余额</w:t>
            </w:r>
          </w:p>
        </w:tc>
        <w:tc>
          <w:tcPr>
            <w:tcW w:w="1196" w:type="dxa"/>
            <w:noWrap w:val="0"/>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持股比例</w:t>
            </w:r>
          </w:p>
        </w:tc>
        <w:tc>
          <w:tcPr>
            <w:tcW w:w="1080" w:type="dxa"/>
            <w:noWrap w:val="0"/>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注册地</w:t>
            </w:r>
          </w:p>
        </w:tc>
        <w:tc>
          <w:tcPr>
            <w:tcW w:w="1280" w:type="dxa"/>
            <w:noWrap w:val="0"/>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业务性质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827"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上海银行（香港）有限公司</w:t>
            </w:r>
          </w:p>
        </w:tc>
        <w:tc>
          <w:tcPr>
            <w:tcW w:w="1296" w:type="dxa"/>
            <w:noWrap w:val="0"/>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3</w:t>
            </w:r>
            <w:r>
              <w:rPr>
                <w:rFonts w:hint="eastAsia" w:ascii="Arial" w:hAnsi="Arial" w:cs="Arial"/>
                <w:color w:val="000000"/>
                <w:kern w:val="0"/>
                <w:sz w:val="20"/>
                <w:szCs w:val="20"/>
              </w:rPr>
              <w:t>,</w:t>
            </w:r>
            <w:r>
              <w:rPr>
                <w:rFonts w:ascii="Arial" w:hAnsi="Arial" w:cs="Arial"/>
                <w:color w:val="000000"/>
                <w:kern w:val="0"/>
                <w:sz w:val="20"/>
                <w:szCs w:val="20"/>
              </w:rPr>
              <w:t>279.424</w:t>
            </w:r>
          </w:p>
        </w:tc>
        <w:tc>
          <w:tcPr>
            <w:tcW w:w="1196" w:type="dxa"/>
            <w:noWrap w:val="0"/>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100</w:t>
            </w:r>
          </w:p>
        </w:tc>
        <w:tc>
          <w:tcPr>
            <w:tcW w:w="108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中国香港</w:t>
            </w:r>
          </w:p>
        </w:tc>
        <w:tc>
          <w:tcPr>
            <w:tcW w:w="128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3827"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上银基金管理有限公司</w:t>
            </w:r>
          </w:p>
        </w:tc>
        <w:tc>
          <w:tcPr>
            <w:tcW w:w="1296" w:type="dxa"/>
            <w:noWrap w:val="0"/>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270</w:t>
            </w:r>
          </w:p>
        </w:tc>
        <w:tc>
          <w:tcPr>
            <w:tcW w:w="1196" w:type="dxa"/>
            <w:noWrap w:val="0"/>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90</w:t>
            </w:r>
          </w:p>
        </w:tc>
        <w:tc>
          <w:tcPr>
            <w:tcW w:w="108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上海</w:t>
            </w:r>
          </w:p>
        </w:tc>
        <w:tc>
          <w:tcPr>
            <w:tcW w:w="128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3827"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上海闵行上银村镇银行股份有限公司</w:t>
            </w:r>
          </w:p>
        </w:tc>
        <w:tc>
          <w:tcPr>
            <w:tcW w:w="1296" w:type="dxa"/>
            <w:noWrap w:val="0"/>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102</w:t>
            </w:r>
          </w:p>
        </w:tc>
        <w:tc>
          <w:tcPr>
            <w:tcW w:w="1196" w:type="dxa"/>
            <w:noWrap w:val="0"/>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46.41</w:t>
            </w:r>
          </w:p>
        </w:tc>
        <w:tc>
          <w:tcPr>
            <w:tcW w:w="108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上海</w:t>
            </w:r>
          </w:p>
        </w:tc>
        <w:tc>
          <w:tcPr>
            <w:tcW w:w="128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3827"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浙江衢州衢江上银村镇银行股份有限公司</w:t>
            </w:r>
          </w:p>
        </w:tc>
        <w:tc>
          <w:tcPr>
            <w:tcW w:w="1296" w:type="dxa"/>
            <w:noWrap w:val="0"/>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51</w:t>
            </w:r>
          </w:p>
        </w:tc>
        <w:tc>
          <w:tcPr>
            <w:tcW w:w="1196" w:type="dxa"/>
            <w:noWrap w:val="0"/>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51</w:t>
            </w:r>
          </w:p>
        </w:tc>
        <w:tc>
          <w:tcPr>
            <w:tcW w:w="108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浙江衢州</w:t>
            </w:r>
          </w:p>
        </w:tc>
        <w:tc>
          <w:tcPr>
            <w:tcW w:w="128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3827"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江苏江宁上银村镇银行股份有限公司</w:t>
            </w:r>
          </w:p>
        </w:tc>
        <w:tc>
          <w:tcPr>
            <w:tcW w:w="1296" w:type="dxa"/>
            <w:noWrap w:val="0"/>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102</w:t>
            </w:r>
          </w:p>
        </w:tc>
        <w:tc>
          <w:tcPr>
            <w:tcW w:w="1196" w:type="dxa"/>
            <w:noWrap w:val="0"/>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51</w:t>
            </w:r>
          </w:p>
        </w:tc>
        <w:tc>
          <w:tcPr>
            <w:tcW w:w="108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江苏南京</w:t>
            </w:r>
          </w:p>
        </w:tc>
        <w:tc>
          <w:tcPr>
            <w:tcW w:w="128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3827"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崇州上银村镇银行股份有限公司</w:t>
            </w:r>
          </w:p>
        </w:tc>
        <w:tc>
          <w:tcPr>
            <w:tcW w:w="1296" w:type="dxa"/>
            <w:noWrap w:val="0"/>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66.3</w:t>
            </w:r>
          </w:p>
        </w:tc>
        <w:tc>
          <w:tcPr>
            <w:tcW w:w="1196" w:type="dxa"/>
            <w:noWrap w:val="0"/>
            <w:vAlign w:val="center"/>
          </w:tcPr>
          <w:p>
            <w:pPr>
              <w:widowControl/>
              <w:jc w:val="right"/>
              <w:rPr>
                <w:rFonts w:ascii="Arial" w:hAnsi="Arial" w:cs="Arial"/>
                <w:color w:val="000000"/>
                <w:kern w:val="0"/>
                <w:sz w:val="20"/>
                <w:szCs w:val="20"/>
              </w:rPr>
            </w:pPr>
            <w:r>
              <w:rPr>
                <w:rFonts w:ascii="Arial" w:hAnsi="Arial" w:cs="Arial"/>
                <w:color w:val="000000"/>
                <w:kern w:val="0"/>
                <w:sz w:val="20"/>
                <w:szCs w:val="20"/>
              </w:rPr>
              <w:t>51</w:t>
            </w:r>
          </w:p>
        </w:tc>
        <w:tc>
          <w:tcPr>
            <w:tcW w:w="108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四川成都</w:t>
            </w:r>
          </w:p>
        </w:tc>
        <w:tc>
          <w:tcPr>
            <w:tcW w:w="128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商业银行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99"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3827"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上银理财有限责任公司</w:t>
            </w:r>
          </w:p>
        </w:tc>
        <w:tc>
          <w:tcPr>
            <w:tcW w:w="1296" w:type="dxa"/>
            <w:noWrap w:val="0"/>
            <w:vAlign w:val="center"/>
          </w:tcPr>
          <w:p>
            <w:pPr>
              <w:widowControl/>
              <w:jc w:val="right"/>
              <w:rPr>
                <w:rFonts w:ascii="Arial" w:hAnsi="Arial" w:cs="Arial"/>
                <w:color w:val="000000"/>
                <w:kern w:val="0"/>
                <w:sz w:val="20"/>
                <w:szCs w:val="20"/>
              </w:rPr>
            </w:pPr>
            <w:r>
              <w:rPr>
                <w:rFonts w:hint="eastAsia" w:ascii="Arial" w:hAnsi="Arial" w:cs="Arial"/>
                <w:color w:val="000000"/>
                <w:kern w:val="0"/>
                <w:sz w:val="20"/>
                <w:szCs w:val="20"/>
              </w:rPr>
              <w:t>3,000</w:t>
            </w:r>
          </w:p>
        </w:tc>
        <w:tc>
          <w:tcPr>
            <w:tcW w:w="1196" w:type="dxa"/>
            <w:noWrap w:val="0"/>
            <w:vAlign w:val="center"/>
          </w:tcPr>
          <w:p>
            <w:pPr>
              <w:widowControl/>
              <w:jc w:val="right"/>
              <w:rPr>
                <w:rFonts w:ascii="Arial" w:hAnsi="Arial" w:cs="Arial"/>
                <w:color w:val="000000"/>
                <w:kern w:val="0"/>
                <w:sz w:val="20"/>
                <w:szCs w:val="20"/>
              </w:rPr>
            </w:pPr>
            <w:r>
              <w:rPr>
                <w:rFonts w:hint="eastAsia" w:ascii="Arial" w:hAnsi="Arial" w:cs="Arial"/>
                <w:color w:val="000000"/>
                <w:kern w:val="0"/>
                <w:sz w:val="20"/>
                <w:szCs w:val="20"/>
              </w:rPr>
              <w:t>100</w:t>
            </w:r>
          </w:p>
        </w:tc>
        <w:tc>
          <w:tcPr>
            <w:tcW w:w="108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上海</w:t>
            </w:r>
          </w:p>
        </w:tc>
        <w:tc>
          <w:tcPr>
            <w:tcW w:w="1280" w:type="dxa"/>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理财公司</w:t>
            </w:r>
          </w:p>
        </w:tc>
      </w:tr>
    </w:tbl>
    <w:p>
      <w:pPr>
        <w:pStyle w:val="3"/>
      </w:pPr>
      <w:bookmarkStart w:id="2" w:name="_Toc44399885"/>
      <w:r>
        <w:rPr>
          <w:rFonts w:hint="eastAsia"/>
        </w:rPr>
        <w:t>2、资本充足水平</w:t>
      </w:r>
      <w:bookmarkEnd w:id="2"/>
      <w:r>
        <w:rPr>
          <w:rFonts w:hint="eastAsia"/>
        </w:rPr>
        <w:t xml:space="preserve"> </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2022年6月末，本集团按照《资本管理办法》计算的核心一级资本充足率为8.93%，一级资本充足率为9.90%，资本充足率为12.04%，均满足监管要求。按照《资本管理办法》计量的集团和母公司资本充足率如下表所示：</w:t>
      </w:r>
    </w:p>
    <w:p>
      <w:pPr>
        <w:pStyle w:val="10"/>
        <w:ind w:firstLine="0" w:firstLineChars="0"/>
        <w:jc w:val="right"/>
      </w:pPr>
      <w:r>
        <w:rPr>
          <w:rFonts w:hint="eastAsia"/>
        </w:rPr>
        <w:t>单位：百万元人民币，%</w:t>
      </w:r>
    </w:p>
    <w:tbl>
      <w:tblPr>
        <w:tblStyle w:val="6"/>
        <w:tblW w:w="5000" w:type="pct"/>
        <w:tblInd w:w="0" w:type="dxa"/>
        <w:tblLayout w:type="autofit"/>
        <w:tblCellMar>
          <w:top w:w="0" w:type="dxa"/>
          <w:left w:w="108" w:type="dxa"/>
          <w:bottom w:w="0" w:type="dxa"/>
          <w:right w:w="108" w:type="dxa"/>
        </w:tblCellMar>
      </w:tblPr>
      <w:tblGrid>
        <w:gridCol w:w="2684"/>
        <w:gridCol w:w="1622"/>
        <w:gridCol w:w="1622"/>
        <w:gridCol w:w="1622"/>
        <w:gridCol w:w="1624"/>
      </w:tblGrid>
      <w:tr>
        <w:tblPrEx>
          <w:tblCellMar>
            <w:top w:w="0" w:type="dxa"/>
            <w:left w:w="108" w:type="dxa"/>
            <w:bottom w:w="0" w:type="dxa"/>
            <w:right w:w="108" w:type="dxa"/>
          </w:tblCellMar>
        </w:tblPrEx>
        <w:trPr>
          <w:trHeight w:val="330" w:hRule="atLeast"/>
        </w:trPr>
        <w:tc>
          <w:tcPr>
            <w:tcW w:w="1463" w:type="pct"/>
            <w:vMerge w:val="restart"/>
            <w:tcBorders>
              <w:top w:val="single" w:color="auto" w:sz="4" w:space="0"/>
              <w:left w:val="single" w:color="auto" w:sz="4" w:space="0"/>
              <w:bottom w:val="single" w:color="000000" w:sz="4" w:space="0"/>
              <w:right w:val="single" w:color="auto" w:sz="4" w:space="0"/>
            </w:tcBorders>
            <w:noWrap/>
            <w:vAlign w:val="center"/>
          </w:tcPr>
          <w:p>
            <w:pPr>
              <w:widowControl/>
              <w:jc w:val="left"/>
              <w:rPr>
                <w:rFonts w:ascii="宋体" w:hAnsi="宋体" w:cs="宋体"/>
                <w:b/>
                <w:color w:val="000000"/>
                <w:kern w:val="0"/>
                <w:sz w:val="20"/>
                <w:szCs w:val="21"/>
              </w:rPr>
            </w:pPr>
            <w:r>
              <w:rPr>
                <w:rFonts w:hint="eastAsia" w:ascii="宋体" w:hAnsi="宋体" w:cs="宋体"/>
                <w:b/>
                <w:color w:val="000000"/>
                <w:kern w:val="0"/>
                <w:sz w:val="20"/>
                <w:szCs w:val="21"/>
              </w:rPr>
              <w:t>　</w:t>
            </w:r>
          </w:p>
        </w:tc>
        <w:tc>
          <w:tcPr>
            <w:tcW w:w="1768" w:type="pct"/>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0"/>
                <w:szCs w:val="21"/>
              </w:rPr>
            </w:pPr>
            <w:r>
              <w:rPr>
                <w:rFonts w:hint="eastAsia" w:ascii="宋体" w:hAnsi="宋体" w:cs="宋体"/>
                <w:b/>
                <w:color w:val="000000"/>
                <w:kern w:val="0"/>
                <w:sz w:val="20"/>
                <w:szCs w:val="21"/>
              </w:rPr>
              <w:t>2022年6月30日</w:t>
            </w:r>
          </w:p>
        </w:tc>
        <w:tc>
          <w:tcPr>
            <w:tcW w:w="1768" w:type="pct"/>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0"/>
                <w:szCs w:val="21"/>
              </w:rPr>
            </w:pPr>
            <w:r>
              <w:rPr>
                <w:rFonts w:hint="eastAsia" w:ascii="宋体" w:hAnsi="宋体" w:cs="宋体"/>
                <w:b/>
                <w:color w:val="000000"/>
                <w:kern w:val="0"/>
                <w:sz w:val="20"/>
                <w:szCs w:val="21"/>
              </w:rPr>
              <w:t>2021年12月31日</w:t>
            </w:r>
          </w:p>
        </w:tc>
      </w:tr>
      <w:tr>
        <w:tblPrEx>
          <w:tblCellMar>
            <w:top w:w="0" w:type="dxa"/>
            <w:left w:w="108" w:type="dxa"/>
            <w:bottom w:w="0" w:type="dxa"/>
            <w:right w:w="108" w:type="dxa"/>
          </w:tblCellMar>
        </w:tblPrEx>
        <w:trPr>
          <w:trHeight w:val="330" w:hRule="atLeast"/>
        </w:trPr>
        <w:tc>
          <w:tcPr>
            <w:tcW w:w="1463" w:type="pct"/>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b/>
                <w:color w:val="000000"/>
                <w:kern w:val="0"/>
                <w:sz w:val="20"/>
                <w:szCs w:val="21"/>
              </w:rPr>
            </w:pPr>
          </w:p>
        </w:tc>
        <w:tc>
          <w:tcPr>
            <w:tcW w:w="884" w:type="pct"/>
            <w:tcBorders>
              <w:top w:val="nil"/>
              <w:left w:val="nil"/>
              <w:bottom w:val="single" w:color="auto" w:sz="4" w:space="0"/>
              <w:right w:val="single" w:color="auto" w:sz="4" w:space="0"/>
            </w:tcBorders>
            <w:noWrap/>
            <w:vAlign w:val="center"/>
          </w:tcPr>
          <w:p>
            <w:pPr>
              <w:widowControl/>
              <w:jc w:val="center"/>
              <w:rPr>
                <w:rFonts w:ascii="宋体" w:hAnsi="宋体" w:cs="宋体"/>
                <w:b/>
                <w:color w:val="000000"/>
                <w:kern w:val="0"/>
                <w:sz w:val="20"/>
                <w:szCs w:val="21"/>
              </w:rPr>
            </w:pPr>
            <w:r>
              <w:rPr>
                <w:rFonts w:hint="eastAsia" w:ascii="宋体" w:hAnsi="宋体" w:cs="宋体"/>
                <w:b/>
                <w:color w:val="000000"/>
                <w:kern w:val="0"/>
                <w:sz w:val="20"/>
                <w:szCs w:val="21"/>
              </w:rPr>
              <w:t>集团</w:t>
            </w:r>
          </w:p>
        </w:tc>
        <w:tc>
          <w:tcPr>
            <w:tcW w:w="884" w:type="pct"/>
            <w:tcBorders>
              <w:top w:val="nil"/>
              <w:left w:val="nil"/>
              <w:bottom w:val="single" w:color="auto" w:sz="4" w:space="0"/>
              <w:right w:val="single" w:color="auto" w:sz="4" w:space="0"/>
            </w:tcBorders>
            <w:noWrap/>
            <w:vAlign w:val="center"/>
          </w:tcPr>
          <w:p>
            <w:pPr>
              <w:widowControl/>
              <w:jc w:val="center"/>
              <w:rPr>
                <w:rFonts w:ascii="宋体" w:hAnsi="宋体" w:cs="宋体"/>
                <w:b/>
                <w:color w:val="000000"/>
                <w:kern w:val="0"/>
                <w:sz w:val="20"/>
                <w:szCs w:val="21"/>
              </w:rPr>
            </w:pPr>
            <w:r>
              <w:rPr>
                <w:rFonts w:hint="eastAsia" w:ascii="宋体" w:hAnsi="宋体" w:cs="宋体"/>
                <w:b/>
                <w:color w:val="000000"/>
                <w:kern w:val="0"/>
                <w:sz w:val="20"/>
                <w:szCs w:val="21"/>
              </w:rPr>
              <w:t>母公司</w:t>
            </w:r>
          </w:p>
        </w:tc>
        <w:tc>
          <w:tcPr>
            <w:tcW w:w="884" w:type="pct"/>
            <w:tcBorders>
              <w:top w:val="nil"/>
              <w:left w:val="nil"/>
              <w:bottom w:val="single" w:color="auto" w:sz="4" w:space="0"/>
              <w:right w:val="single" w:color="auto" w:sz="4" w:space="0"/>
            </w:tcBorders>
            <w:noWrap/>
            <w:vAlign w:val="center"/>
          </w:tcPr>
          <w:p>
            <w:pPr>
              <w:widowControl/>
              <w:jc w:val="center"/>
              <w:rPr>
                <w:rFonts w:ascii="宋体" w:hAnsi="宋体" w:cs="宋体"/>
                <w:b/>
                <w:color w:val="000000"/>
                <w:kern w:val="0"/>
                <w:sz w:val="20"/>
                <w:szCs w:val="21"/>
              </w:rPr>
            </w:pPr>
            <w:r>
              <w:rPr>
                <w:rFonts w:hint="eastAsia" w:ascii="宋体" w:hAnsi="宋体" w:cs="宋体"/>
                <w:b/>
                <w:color w:val="000000"/>
                <w:kern w:val="0"/>
                <w:sz w:val="20"/>
                <w:szCs w:val="21"/>
              </w:rPr>
              <w:t>集团</w:t>
            </w:r>
          </w:p>
        </w:tc>
        <w:tc>
          <w:tcPr>
            <w:tcW w:w="884" w:type="pct"/>
            <w:tcBorders>
              <w:top w:val="nil"/>
              <w:left w:val="nil"/>
              <w:bottom w:val="single" w:color="auto" w:sz="4" w:space="0"/>
              <w:right w:val="single" w:color="auto" w:sz="4" w:space="0"/>
            </w:tcBorders>
            <w:noWrap/>
            <w:vAlign w:val="center"/>
          </w:tcPr>
          <w:p>
            <w:pPr>
              <w:widowControl/>
              <w:jc w:val="center"/>
              <w:rPr>
                <w:rFonts w:ascii="宋体" w:hAnsi="宋体" w:cs="宋体"/>
                <w:b/>
                <w:color w:val="000000"/>
                <w:kern w:val="0"/>
                <w:sz w:val="20"/>
                <w:szCs w:val="21"/>
              </w:rPr>
            </w:pPr>
            <w:r>
              <w:rPr>
                <w:rFonts w:hint="eastAsia" w:ascii="宋体" w:hAnsi="宋体" w:cs="宋体"/>
                <w:b/>
                <w:color w:val="000000"/>
                <w:kern w:val="0"/>
                <w:sz w:val="20"/>
                <w:szCs w:val="21"/>
              </w:rPr>
              <w:t>母公司</w:t>
            </w:r>
          </w:p>
        </w:tc>
      </w:tr>
      <w:tr>
        <w:tblPrEx>
          <w:tblCellMar>
            <w:top w:w="0" w:type="dxa"/>
            <w:left w:w="108" w:type="dxa"/>
            <w:bottom w:w="0" w:type="dxa"/>
            <w:right w:w="108" w:type="dxa"/>
          </w:tblCellMar>
        </w:tblPrEx>
        <w:trPr>
          <w:trHeight w:val="454" w:hRule="atLeast"/>
        </w:trPr>
        <w:tc>
          <w:tcPr>
            <w:tcW w:w="1463"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1"/>
              </w:rPr>
            </w:pPr>
            <w:r>
              <w:rPr>
                <w:rFonts w:hint="eastAsia" w:ascii="宋体" w:hAnsi="宋体" w:cs="宋体"/>
                <w:color w:val="000000"/>
                <w:kern w:val="0"/>
                <w:sz w:val="20"/>
                <w:szCs w:val="21"/>
              </w:rPr>
              <w:t>核心一级资本净额</w:t>
            </w:r>
          </w:p>
        </w:tc>
        <w:tc>
          <w:tcPr>
            <w:tcW w:w="162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183,</w:t>
            </w:r>
            <w:r>
              <w:rPr>
                <w:rFonts w:hint="eastAsia" w:ascii="Arial" w:hAnsi="Arial" w:cs="Arial"/>
                <w:color w:val="000000"/>
                <w:kern w:val="0"/>
                <w:sz w:val="20"/>
                <w:szCs w:val="21"/>
                <w:lang w:val="en-US" w:eastAsia="zh-CN"/>
              </w:rPr>
              <w:t>128</w:t>
            </w:r>
            <w:r>
              <w:rPr>
                <w:rFonts w:hint="eastAsia" w:ascii="Arial" w:hAnsi="Arial" w:cs="Arial"/>
                <w:color w:val="000000"/>
                <w:kern w:val="0"/>
                <w:sz w:val="20"/>
                <w:szCs w:val="21"/>
              </w:rPr>
              <w:t xml:space="preserve"> </w:t>
            </w:r>
          </w:p>
        </w:tc>
        <w:tc>
          <w:tcPr>
            <w:tcW w:w="162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173,814 </w:t>
            </w:r>
          </w:p>
        </w:tc>
        <w:tc>
          <w:tcPr>
            <w:tcW w:w="162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  178,300 </w:t>
            </w:r>
          </w:p>
        </w:tc>
        <w:tc>
          <w:tcPr>
            <w:tcW w:w="1623"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  172,608 </w:t>
            </w:r>
          </w:p>
        </w:tc>
      </w:tr>
      <w:tr>
        <w:tblPrEx>
          <w:tblCellMar>
            <w:top w:w="0" w:type="dxa"/>
            <w:left w:w="108" w:type="dxa"/>
            <w:bottom w:w="0" w:type="dxa"/>
            <w:right w:w="108" w:type="dxa"/>
          </w:tblCellMar>
        </w:tblPrEx>
        <w:trPr>
          <w:trHeight w:val="454" w:hRule="atLeast"/>
        </w:trPr>
        <w:tc>
          <w:tcPr>
            <w:tcW w:w="1463"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1"/>
              </w:rPr>
            </w:pPr>
            <w:r>
              <w:rPr>
                <w:rFonts w:hint="eastAsia" w:ascii="宋体" w:hAnsi="宋体" w:cs="宋体"/>
                <w:color w:val="000000"/>
                <w:kern w:val="0"/>
                <w:sz w:val="20"/>
                <w:szCs w:val="21"/>
              </w:rPr>
              <w:t>一级资本净额</w:t>
            </w:r>
          </w:p>
        </w:tc>
        <w:tc>
          <w:tcPr>
            <w:tcW w:w="162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203,</w:t>
            </w:r>
            <w:r>
              <w:rPr>
                <w:rFonts w:hint="eastAsia" w:ascii="Arial" w:hAnsi="Arial" w:cs="Arial"/>
                <w:color w:val="000000"/>
                <w:kern w:val="0"/>
                <w:sz w:val="20"/>
                <w:szCs w:val="21"/>
                <w:lang w:val="en-US" w:eastAsia="zh-CN"/>
              </w:rPr>
              <w:t>103</w:t>
            </w:r>
            <w:r>
              <w:rPr>
                <w:rFonts w:hint="eastAsia" w:ascii="Arial" w:hAnsi="Arial" w:cs="Arial"/>
                <w:color w:val="000000"/>
                <w:kern w:val="0"/>
                <w:sz w:val="20"/>
                <w:szCs w:val="21"/>
              </w:rPr>
              <w:t xml:space="preserve"> </w:t>
            </w:r>
          </w:p>
        </w:tc>
        <w:tc>
          <w:tcPr>
            <w:tcW w:w="162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193,771 </w:t>
            </w:r>
          </w:p>
        </w:tc>
        <w:tc>
          <w:tcPr>
            <w:tcW w:w="162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  198,275 </w:t>
            </w:r>
          </w:p>
        </w:tc>
        <w:tc>
          <w:tcPr>
            <w:tcW w:w="1623"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  192,565 </w:t>
            </w:r>
          </w:p>
        </w:tc>
      </w:tr>
      <w:tr>
        <w:tblPrEx>
          <w:tblCellMar>
            <w:top w:w="0" w:type="dxa"/>
            <w:left w:w="108" w:type="dxa"/>
            <w:bottom w:w="0" w:type="dxa"/>
            <w:right w:w="108" w:type="dxa"/>
          </w:tblCellMar>
        </w:tblPrEx>
        <w:trPr>
          <w:trHeight w:val="454" w:hRule="atLeast"/>
        </w:trPr>
        <w:tc>
          <w:tcPr>
            <w:tcW w:w="1463"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1"/>
              </w:rPr>
            </w:pPr>
            <w:r>
              <w:rPr>
                <w:rFonts w:hint="eastAsia" w:ascii="宋体" w:hAnsi="宋体" w:cs="宋体"/>
                <w:color w:val="000000"/>
                <w:kern w:val="0"/>
                <w:sz w:val="20"/>
                <w:szCs w:val="21"/>
              </w:rPr>
              <w:t>总资本净额</w:t>
            </w:r>
          </w:p>
        </w:tc>
        <w:tc>
          <w:tcPr>
            <w:tcW w:w="162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246</w:t>
            </w:r>
            <w:r>
              <w:rPr>
                <w:rFonts w:hint="eastAsia" w:ascii="Arial" w:hAnsi="Arial" w:cs="Arial"/>
                <w:color w:val="000000"/>
                <w:kern w:val="0"/>
                <w:sz w:val="20"/>
                <w:szCs w:val="21"/>
                <w:lang w:val="en-US" w:eastAsia="zh-CN"/>
              </w:rPr>
              <w:t>,918</w:t>
            </w:r>
            <w:r>
              <w:rPr>
                <w:rFonts w:hint="eastAsia" w:ascii="Arial" w:hAnsi="Arial" w:cs="Arial"/>
                <w:color w:val="000000"/>
                <w:kern w:val="0"/>
                <w:sz w:val="20"/>
                <w:szCs w:val="21"/>
              </w:rPr>
              <w:t xml:space="preserve"> </w:t>
            </w:r>
          </w:p>
        </w:tc>
        <w:tc>
          <w:tcPr>
            <w:tcW w:w="162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237,207 </w:t>
            </w:r>
          </w:p>
        </w:tc>
        <w:tc>
          <w:tcPr>
            <w:tcW w:w="162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  242,407 </w:t>
            </w:r>
          </w:p>
        </w:tc>
        <w:tc>
          <w:tcPr>
            <w:tcW w:w="1623"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  236,334 </w:t>
            </w:r>
          </w:p>
        </w:tc>
      </w:tr>
      <w:tr>
        <w:tblPrEx>
          <w:tblCellMar>
            <w:top w:w="0" w:type="dxa"/>
            <w:left w:w="108" w:type="dxa"/>
            <w:bottom w:w="0" w:type="dxa"/>
            <w:right w:w="108" w:type="dxa"/>
          </w:tblCellMar>
        </w:tblPrEx>
        <w:trPr>
          <w:trHeight w:val="454" w:hRule="atLeast"/>
        </w:trPr>
        <w:tc>
          <w:tcPr>
            <w:tcW w:w="1463"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1"/>
              </w:rPr>
            </w:pPr>
            <w:r>
              <w:rPr>
                <w:rFonts w:hint="eastAsia" w:ascii="宋体" w:hAnsi="宋体" w:cs="宋体"/>
                <w:color w:val="000000"/>
                <w:kern w:val="0"/>
                <w:sz w:val="20"/>
                <w:szCs w:val="21"/>
              </w:rPr>
              <w:t>核心一级资本充足率</w:t>
            </w:r>
          </w:p>
        </w:tc>
        <w:tc>
          <w:tcPr>
            <w:tcW w:w="162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8.93</w:t>
            </w:r>
          </w:p>
        </w:tc>
        <w:tc>
          <w:tcPr>
            <w:tcW w:w="162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8.61</w:t>
            </w:r>
          </w:p>
        </w:tc>
        <w:tc>
          <w:tcPr>
            <w:tcW w:w="162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        8.95 </w:t>
            </w:r>
          </w:p>
        </w:tc>
        <w:tc>
          <w:tcPr>
            <w:tcW w:w="1623"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        8.79 </w:t>
            </w:r>
          </w:p>
        </w:tc>
      </w:tr>
      <w:tr>
        <w:tblPrEx>
          <w:tblCellMar>
            <w:top w:w="0" w:type="dxa"/>
            <w:left w:w="108" w:type="dxa"/>
            <w:bottom w:w="0" w:type="dxa"/>
            <w:right w:w="108" w:type="dxa"/>
          </w:tblCellMar>
        </w:tblPrEx>
        <w:trPr>
          <w:trHeight w:val="454" w:hRule="atLeast"/>
        </w:trPr>
        <w:tc>
          <w:tcPr>
            <w:tcW w:w="1463"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1"/>
              </w:rPr>
            </w:pPr>
            <w:r>
              <w:rPr>
                <w:rFonts w:hint="eastAsia" w:ascii="宋体" w:hAnsi="宋体" w:cs="宋体"/>
                <w:color w:val="000000"/>
                <w:kern w:val="0"/>
                <w:sz w:val="20"/>
                <w:szCs w:val="21"/>
              </w:rPr>
              <w:t>一级资本充足率</w:t>
            </w:r>
          </w:p>
        </w:tc>
        <w:tc>
          <w:tcPr>
            <w:tcW w:w="162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9.90</w:t>
            </w:r>
          </w:p>
        </w:tc>
        <w:tc>
          <w:tcPr>
            <w:tcW w:w="162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9.60</w:t>
            </w:r>
          </w:p>
        </w:tc>
        <w:tc>
          <w:tcPr>
            <w:tcW w:w="162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      9.95 </w:t>
            </w:r>
          </w:p>
        </w:tc>
        <w:tc>
          <w:tcPr>
            <w:tcW w:w="1623"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      9.80 </w:t>
            </w:r>
          </w:p>
        </w:tc>
      </w:tr>
      <w:tr>
        <w:tblPrEx>
          <w:tblCellMar>
            <w:top w:w="0" w:type="dxa"/>
            <w:left w:w="108" w:type="dxa"/>
            <w:bottom w:w="0" w:type="dxa"/>
            <w:right w:w="108" w:type="dxa"/>
          </w:tblCellMar>
        </w:tblPrEx>
        <w:trPr>
          <w:trHeight w:val="454" w:hRule="atLeast"/>
        </w:trPr>
        <w:tc>
          <w:tcPr>
            <w:tcW w:w="1463"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1"/>
              </w:rPr>
            </w:pPr>
            <w:r>
              <w:rPr>
                <w:rFonts w:hint="eastAsia" w:ascii="宋体" w:hAnsi="宋体" w:cs="宋体"/>
                <w:color w:val="000000"/>
                <w:kern w:val="0"/>
                <w:sz w:val="20"/>
                <w:szCs w:val="21"/>
              </w:rPr>
              <w:t>资本充足率</w:t>
            </w:r>
          </w:p>
        </w:tc>
        <w:tc>
          <w:tcPr>
            <w:tcW w:w="162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12.04</w:t>
            </w:r>
          </w:p>
        </w:tc>
        <w:tc>
          <w:tcPr>
            <w:tcW w:w="162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11.75</w:t>
            </w:r>
          </w:p>
        </w:tc>
        <w:tc>
          <w:tcPr>
            <w:tcW w:w="162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      12.16 </w:t>
            </w:r>
          </w:p>
        </w:tc>
        <w:tc>
          <w:tcPr>
            <w:tcW w:w="1623"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      12.03 </w:t>
            </w:r>
          </w:p>
        </w:tc>
      </w:tr>
    </w:tbl>
    <w:p>
      <w:pPr>
        <w:pStyle w:val="3"/>
      </w:pPr>
      <w:bookmarkStart w:id="3" w:name="_Toc44399886"/>
      <w:r>
        <w:rPr>
          <w:rFonts w:hint="eastAsia"/>
        </w:rPr>
        <w:t>3、风险加权资产计量</w:t>
      </w:r>
      <w:bookmarkEnd w:id="3"/>
      <w:r>
        <w:rPr>
          <w:rFonts w:hint="eastAsia"/>
        </w:rPr>
        <w:t xml:space="preserve"> </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本集团根据《资本管理办法》的相关要求计量</w:t>
      </w:r>
      <w:r>
        <w:rPr>
          <w:rFonts w:ascii="仿宋_GB2312" w:eastAsia="仿宋_GB2312"/>
          <w:sz w:val="28"/>
          <w:szCs w:val="28"/>
        </w:rPr>
        <w:t>风险加权资产</w:t>
      </w:r>
      <w:r>
        <w:rPr>
          <w:rFonts w:hint="eastAsia" w:ascii="仿宋_GB2312" w:eastAsia="仿宋_GB2312"/>
          <w:sz w:val="28"/>
          <w:szCs w:val="28"/>
        </w:rPr>
        <w:t>，信用风险采用权重法，市场风险采用标准法，操作风险采用基本指标法。</w:t>
      </w:r>
    </w:p>
    <w:p>
      <w:pPr>
        <w:spacing w:line="460" w:lineRule="exact"/>
        <w:ind w:firstLine="560" w:firstLineChars="200"/>
        <w:rPr>
          <w:rFonts w:ascii="仿宋_GB2312" w:eastAsia="仿宋_GB2312"/>
          <w:sz w:val="28"/>
          <w:szCs w:val="28"/>
        </w:rPr>
      </w:pPr>
      <w:r>
        <w:rPr>
          <w:rFonts w:ascii="仿宋_GB2312" w:eastAsia="仿宋_GB2312"/>
          <w:sz w:val="28"/>
          <w:szCs w:val="28"/>
        </w:rPr>
        <w:t>20</w:t>
      </w:r>
      <w:r>
        <w:rPr>
          <w:rFonts w:hint="eastAsia" w:ascii="仿宋_GB2312" w:eastAsia="仿宋_GB2312"/>
          <w:sz w:val="28"/>
          <w:szCs w:val="28"/>
        </w:rPr>
        <w:t>22</w:t>
      </w:r>
      <w:r>
        <w:rPr>
          <w:rFonts w:ascii="仿宋_GB2312" w:eastAsia="仿宋_GB2312"/>
          <w:sz w:val="28"/>
          <w:szCs w:val="28"/>
        </w:rPr>
        <w:t>年</w:t>
      </w:r>
      <w:r>
        <w:rPr>
          <w:rFonts w:hint="eastAsia" w:ascii="仿宋_GB2312" w:eastAsia="仿宋_GB2312"/>
          <w:sz w:val="28"/>
          <w:szCs w:val="28"/>
        </w:rPr>
        <w:t>6月30日</w:t>
      </w:r>
      <w:r>
        <w:rPr>
          <w:rFonts w:ascii="仿宋_GB2312" w:eastAsia="仿宋_GB2312"/>
          <w:sz w:val="28"/>
          <w:szCs w:val="28"/>
        </w:rPr>
        <w:t>，本集团风险加权资产计量结果如下表所示：</w:t>
      </w:r>
    </w:p>
    <w:p>
      <w:pPr>
        <w:pStyle w:val="10"/>
        <w:ind w:firstLine="400"/>
        <w:jc w:val="right"/>
      </w:pPr>
      <w:r>
        <w:rPr>
          <w:rFonts w:hint="eastAsia"/>
        </w:rPr>
        <w:t>单位：百万元人民币</w:t>
      </w:r>
    </w:p>
    <w:tbl>
      <w:tblPr>
        <w:tblStyle w:val="6"/>
        <w:tblW w:w="5000" w:type="pct"/>
        <w:tblInd w:w="0" w:type="dxa"/>
        <w:tblLayout w:type="autofit"/>
        <w:tblCellMar>
          <w:top w:w="0" w:type="dxa"/>
          <w:left w:w="108" w:type="dxa"/>
          <w:bottom w:w="0" w:type="dxa"/>
          <w:right w:w="108" w:type="dxa"/>
        </w:tblCellMar>
      </w:tblPr>
      <w:tblGrid>
        <w:gridCol w:w="3082"/>
        <w:gridCol w:w="3046"/>
        <w:gridCol w:w="3046"/>
      </w:tblGrid>
      <w:tr>
        <w:tblPrEx>
          <w:tblCellMar>
            <w:top w:w="0" w:type="dxa"/>
            <w:left w:w="108" w:type="dxa"/>
            <w:bottom w:w="0" w:type="dxa"/>
            <w:right w:w="108" w:type="dxa"/>
          </w:tblCellMar>
        </w:tblPrEx>
        <w:trPr>
          <w:trHeight w:val="454" w:hRule="atLeast"/>
        </w:trPr>
        <w:tc>
          <w:tcPr>
            <w:tcW w:w="1680"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kern w:val="0"/>
                <w:sz w:val="20"/>
                <w:szCs w:val="20"/>
              </w:rPr>
            </w:pPr>
            <w:r>
              <w:rPr>
                <w:rFonts w:hint="eastAsia" w:ascii="宋体" w:hAnsi="宋体" w:cs="宋体"/>
                <w:b/>
                <w:kern w:val="0"/>
                <w:sz w:val="20"/>
                <w:szCs w:val="20"/>
              </w:rPr>
              <w:t>项目</w:t>
            </w:r>
          </w:p>
        </w:tc>
        <w:tc>
          <w:tcPr>
            <w:tcW w:w="304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kern w:val="0"/>
                <w:sz w:val="20"/>
                <w:szCs w:val="20"/>
              </w:rPr>
            </w:pPr>
            <w:r>
              <w:rPr>
                <w:rFonts w:hint="eastAsia" w:ascii="宋体" w:hAnsi="宋体" w:cs="宋体"/>
                <w:b/>
                <w:color w:val="000000"/>
                <w:kern w:val="0"/>
                <w:sz w:val="20"/>
                <w:szCs w:val="21"/>
              </w:rPr>
              <w:t>2022年6月30日</w:t>
            </w:r>
          </w:p>
        </w:tc>
        <w:tc>
          <w:tcPr>
            <w:tcW w:w="3046"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kern w:val="0"/>
                <w:sz w:val="20"/>
                <w:szCs w:val="20"/>
              </w:rPr>
            </w:pPr>
            <w:r>
              <w:rPr>
                <w:rFonts w:hint="eastAsia" w:ascii="宋体" w:hAnsi="宋体" w:cs="宋体"/>
                <w:b/>
                <w:color w:val="000000"/>
                <w:kern w:val="0"/>
                <w:sz w:val="20"/>
                <w:szCs w:val="21"/>
              </w:rPr>
              <w:t>2021年12月31日</w:t>
            </w:r>
          </w:p>
        </w:tc>
      </w:tr>
      <w:tr>
        <w:tblPrEx>
          <w:tblCellMar>
            <w:top w:w="0" w:type="dxa"/>
            <w:left w:w="108" w:type="dxa"/>
            <w:bottom w:w="0" w:type="dxa"/>
            <w:right w:w="108" w:type="dxa"/>
          </w:tblCellMar>
        </w:tblPrEx>
        <w:trPr>
          <w:trHeight w:val="454" w:hRule="atLeast"/>
        </w:trPr>
        <w:tc>
          <w:tcPr>
            <w:tcW w:w="1680"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信用风险加权资产</w:t>
            </w:r>
          </w:p>
        </w:tc>
        <w:tc>
          <w:tcPr>
            <w:tcW w:w="3046"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1,926,150 </w:t>
            </w:r>
          </w:p>
        </w:tc>
        <w:tc>
          <w:tcPr>
            <w:tcW w:w="3046" w:type="dxa"/>
            <w:tcBorders>
              <w:top w:val="nil"/>
              <w:left w:val="nil"/>
              <w:bottom w:val="single" w:color="auto" w:sz="4" w:space="0"/>
              <w:right w:val="single" w:color="auto" w:sz="4" w:space="0"/>
            </w:tcBorders>
            <w:noWrap w:val="0"/>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1,870,802 </w:t>
            </w:r>
          </w:p>
        </w:tc>
      </w:tr>
      <w:tr>
        <w:tblPrEx>
          <w:tblCellMar>
            <w:top w:w="0" w:type="dxa"/>
            <w:left w:w="108" w:type="dxa"/>
            <w:bottom w:w="0" w:type="dxa"/>
            <w:right w:w="108" w:type="dxa"/>
          </w:tblCellMar>
        </w:tblPrEx>
        <w:trPr>
          <w:trHeight w:val="454" w:hRule="atLeast"/>
        </w:trPr>
        <w:tc>
          <w:tcPr>
            <w:tcW w:w="1680"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市场风险加权资产</w:t>
            </w:r>
          </w:p>
        </w:tc>
        <w:tc>
          <w:tcPr>
            <w:tcW w:w="3046"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26,666 </w:t>
            </w:r>
          </w:p>
        </w:tc>
        <w:tc>
          <w:tcPr>
            <w:tcW w:w="3046" w:type="dxa"/>
            <w:tcBorders>
              <w:top w:val="nil"/>
              <w:left w:val="nil"/>
              <w:bottom w:val="single" w:color="auto" w:sz="4" w:space="0"/>
              <w:right w:val="single" w:color="auto" w:sz="4" w:space="0"/>
            </w:tcBorders>
            <w:noWrap w:val="0"/>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24,074 </w:t>
            </w:r>
          </w:p>
        </w:tc>
      </w:tr>
      <w:tr>
        <w:tblPrEx>
          <w:tblCellMar>
            <w:top w:w="0" w:type="dxa"/>
            <w:left w:w="108" w:type="dxa"/>
            <w:bottom w:w="0" w:type="dxa"/>
            <w:right w:w="108" w:type="dxa"/>
          </w:tblCellMar>
        </w:tblPrEx>
        <w:trPr>
          <w:trHeight w:val="454" w:hRule="atLeast"/>
        </w:trPr>
        <w:tc>
          <w:tcPr>
            <w:tcW w:w="1680"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操作风险加权资产</w:t>
            </w:r>
          </w:p>
        </w:tc>
        <w:tc>
          <w:tcPr>
            <w:tcW w:w="3046"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97,938 </w:t>
            </w:r>
          </w:p>
        </w:tc>
        <w:tc>
          <w:tcPr>
            <w:tcW w:w="3046" w:type="dxa"/>
            <w:tcBorders>
              <w:top w:val="nil"/>
              <w:left w:val="nil"/>
              <w:bottom w:val="single" w:color="auto" w:sz="4" w:space="0"/>
              <w:right w:val="single" w:color="auto" w:sz="4" w:space="0"/>
            </w:tcBorders>
            <w:noWrap w:val="0"/>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97,938 </w:t>
            </w:r>
          </w:p>
        </w:tc>
      </w:tr>
      <w:tr>
        <w:tblPrEx>
          <w:tblCellMar>
            <w:top w:w="0" w:type="dxa"/>
            <w:left w:w="108" w:type="dxa"/>
            <w:bottom w:w="0" w:type="dxa"/>
            <w:right w:w="108" w:type="dxa"/>
          </w:tblCellMar>
        </w:tblPrEx>
        <w:trPr>
          <w:trHeight w:val="454" w:hRule="atLeast"/>
        </w:trPr>
        <w:tc>
          <w:tcPr>
            <w:tcW w:w="1680"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 w:val="20"/>
                <w:szCs w:val="20"/>
              </w:rPr>
            </w:pPr>
            <w:r>
              <w:rPr>
                <w:rFonts w:hint="eastAsia" w:ascii="宋体" w:hAnsi="宋体" w:cs="宋体"/>
                <w:kern w:val="0"/>
                <w:sz w:val="20"/>
                <w:szCs w:val="20"/>
              </w:rPr>
              <w:t>合计</w:t>
            </w:r>
          </w:p>
        </w:tc>
        <w:tc>
          <w:tcPr>
            <w:tcW w:w="3046"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2,050,754 </w:t>
            </w:r>
          </w:p>
        </w:tc>
        <w:tc>
          <w:tcPr>
            <w:tcW w:w="3046" w:type="dxa"/>
            <w:tcBorders>
              <w:top w:val="nil"/>
              <w:left w:val="nil"/>
              <w:bottom w:val="single" w:color="auto" w:sz="4" w:space="0"/>
              <w:right w:val="single" w:color="auto" w:sz="4" w:space="0"/>
            </w:tcBorders>
            <w:noWrap w:val="0"/>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1,992,814 </w:t>
            </w:r>
          </w:p>
        </w:tc>
      </w:tr>
    </w:tbl>
    <w:p>
      <w:pPr>
        <w:pStyle w:val="2"/>
      </w:pPr>
      <w:bookmarkStart w:id="4" w:name="_Toc44399887"/>
      <w:r>
        <w:rPr>
          <w:rFonts w:hint="eastAsia"/>
        </w:rPr>
        <w:t>二、信用风险</w:t>
      </w:r>
      <w:bookmarkEnd w:id="4"/>
      <w:r>
        <w:rPr>
          <w:rFonts w:hint="eastAsia"/>
        </w:rPr>
        <w:t xml:space="preserve"> </w:t>
      </w:r>
    </w:p>
    <w:p>
      <w:pPr>
        <w:pStyle w:val="3"/>
      </w:pPr>
      <w:bookmarkStart w:id="5" w:name="_Toc44399888"/>
      <w:r>
        <w:rPr>
          <w:rFonts w:hint="eastAsia"/>
        </w:rPr>
        <w:t>1、信用风险暴露</w:t>
      </w:r>
      <w:bookmarkEnd w:id="5"/>
    </w:p>
    <w:p>
      <w:pPr>
        <w:spacing w:line="460" w:lineRule="exact"/>
        <w:ind w:firstLine="560" w:firstLineChars="200"/>
        <w:rPr>
          <w:rFonts w:ascii="仿宋_GB2312" w:eastAsia="仿宋_GB2312"/>
          <w:sz w:val="28"/>
          <w:szCs w:val="28"/>
        </w:rPr>
      </w:pPr>
      <w:r>
        <w:rPr>
          <w:rFonts w:hint="eastAsia" w:ascii="仿宋_GB2312" w:eastAsia="仿宋_GB2312"/>
          <w:sz w:val="28"/>
          <w:szCs w:val="28"/>
        </w:rPr>
        <w:t>本集团根据《资本管理办法》中权重法的相关规定确定适用的风险权重，并计算风险加权资产。</w:t>
      </w:r>
    </w:p>
    <w:p>
      <w:pPr>
        <w:spacing w:line="460" w:lineRule="exact"/>
        <w:ind w:firstLine="560" w:firstLineChars="200"/>
        <w:rPr>
          <w:rFonts w:ascii="仿宋_GB2312" w:eastAsia="仿宋_GB2312"/>
          <w:sz w:val="28"/>
          <w:szCs w:val="28"/>
        </w:rPr>
      </w:pPr>
      <w:r>
        <w:rPr>
          <w:rFonts w:ascii="仿宋_GB2312" w:eastAsia="仿宋_GB2312"/>
          <w:sz w:val="28"/>
          <w:szCs w:val="28"/>
        </w:rPr>
        <w:t>20</w:t>
      </w:r>
      <w:r>
        <w:rPr>
          <w:rFonts w:hint="eastAsia" w:ascii="仿宋_GB2312" w:eastAsia="仿宋_GB2312"/>
          <w:sz w:val="28"/>
          <w:szCs w:val="28"/>
        </w:rPr>
        <w:t>22</w:t>
      </w:r>
      <w:r>
        <w:rPr>
          <w:rFonts w:ascii="仿宋_GB2312" w:eastAsia="仿宋_GB2312"/>
          <w:sz w:val="28"/>
          <w:szCs w:val="28"/>
        </w:rPr>
        <w:t>年</w:t>
      </w:r>
      <w:r>
        <w:rPr>
          <w:rFonts w:hint="eastAsia" w:ascii="仿宋_GB2312" w:eastAsia="仿宋_GB2312"/>
          <w:sz w:val="28"/>
          <w:szCs w:val="28"/>
        </w:rPr>
        <w:t>6月30日，本集团信用风险暴露按照客户主体划分的情况如下表所示：</w:t>
      </w:r>
    </w:p>
    <w:p>
      <w:pPr>
        <w:pStyle w:val="10"/>
        <w:ind w:firstLine="400"/>
        <w:jc w:val="right"/>
      </w:pPr>
      <w:r>
        <w:rPr>
          <w:rFonts w:hint="eastAsia"/>
        </w:rPr>
        <w:t>单位：百万元人民币</w:t>
      </w:r>
    </w:p>
    <w:tbl>
      <w:tblPr>
        <w:tblStyle w:val="6"/>
        <w:tblW w:w="5000" w:type="pct"/>
        <w:tblInd w:w="0" w:type="dxa"/>
        <w:tblLayout w:type="fixed"/>
        <w:tblCellMar>
          <w:top w:w="0" w:type="dxa"/>
          <w:left w:w="108" w:type="dxa"/>
          <w:bottom w:w="0" w:type="dxa"/>
          <w:right w:w="108" w:type="dxa"/>
        </w:tblCellMar>
      </w:tblPr>
      <w:tblGrid>
        <w:gridCol w:w="4386"/>
        <w:gridCol w:w="2394"/>
        <w:gridCol w:w="2394"/>
      </w:tblGrid>
      <w:tr>
        <w:tblPrEx>
          <w:tblCellMar>
            <w:top w:w="0" w:type="dxa"/>
            <w:left w:w="108" w:type="dxa"/>
            <w:bottom w:w="0" w:type="dxa"/>
            <w:right w:w="108" w:type="dxa"/>
          </w:tblCellMar>
        </w:tblPrEx>
        <w:trPr>
          <w:trHeight w:val="454" w:hRule="atLeast"/>
        </w:trPr>
        <w:tc>
          <w:tcPr>
            <w:tcW w:w="2390"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主体分类</w:t>
            </w:r>
          </w:p>
        </w:tc>
        <w:tc>
          <w:tcPr>
            <w:tcW w:w="130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缓释前风险暴露</w:t>
            </w:r>
          </w:p>
        </w:tc>
        <w:tc>
          <w:tcPr>
            <w:tcW w:w="1305"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缓释后风险暴露</w:t>
            </w:r>
          </w:p>
        </w:tc>
      </w:tr>
      <w:tr>
        <w:tblPrEx>
          <w:tblCellMar>
            <w:top w:w="0" w:type="dxa"/>
            <w:left w:w="108" w:type="dxa"/>
            <w:bottom w:w="0" w:type="dxa"/>
            <w:right w:w="108" w:type="dxa"/>
          </w:tblCellMar>
        </w:tblPrEx>
        <w:trPr>
          <w:trHeight w:val="454" w:hRule="atLeast"/>
        </w:trPr>
        <w:tc>
          <w:tcPr>
            <w:tcW w:w="2390"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表内信用风险暴露小计</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2,732,834 </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2,577,735 </w:t>
            </w:r>
          </w:p>
        </w:tc>
      </w:tr>
      <w:tr>
        <w:tblPrEx>
          <w:tblCellMar>
            <w:top w:w="0" w:type="dxa"/>
            <w:left w:w="108" w:type="dxa"/>
            <w:bottom w:w="0" w:type="dxa"/>
            <w:right w:w="108" w:type="dxa"/>
          </w:tblCellMar>
        </w:tblPrEx>
        <w:trPr>
          <w:trHeight w:val="454" w:hRule="atLeast"/>
        </w:trPr>
        <w:tc>
          <w:tcPr>
            <w:tcW w:w="2390"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现金类资产</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148,520 </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148,520 </w:t>
            </w:r>
          </w:p>
        </w:tc>
      </w:tr>
      <w:tr>
        <w:tblPrEx>
          <w:tblCellMar>
            <w:top w:w="0" w:type="dxa"/>
            <w:left w:w="108" w:type="dxa"/>
            <w:bottom w:w="0" w:type="dxa"/>
            <w:right w:w="108" w:type="dxa"/>
          </w:tblCellMar>
        </w:tblPrEx>
        <w:trPr>
          <w:trHeight w:val="454" w:hRule="atLeast"/>
        </w:trPr>
        <w:tc>
          <w:tcPr>
            <w:tcW w:w="2390"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对中央政府和中央银行的债权</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155,247 </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155,247 </w:t>
            </w:r>
          </w:p>
        </w:tc>
      </w:tr>
      <w:tr>
        <w:tblPrEx>
          <w:tblCellMar>
            <w:top w:w="0" w:type="dxa"/>
            <w:left w:w="108" w:type="dxa"/>
            <w:bottom w:w="0" w:type="dxa"/>
            <w:right w:w="108" w:type="dxa"/>
          </w:tblCellMar>
        </w:tblPrEx>
        <w:trPr>
          <w:trHeight w:val="454" w:hRule="atLeast"/>
        </w:trPr>
        <w:tc>
          <w:tcPr>
            <w:tcW w:w="2390"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对公共部门实体的债权</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333,879 </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333,879 </w:t>
            </w:r>
          </w:p>
        </w:tc>
      </w:tr>
      <w:tr>
        <w:tblPrEx>
          <w:tblCellMar>
            <w:top w:w="0" w:type="dxa"/>
            <w:left w:w="108" w:type="dxa"/>
            <w:bottom w:w="0" w:type="dxa"/>
            <w:right w:w="108" w:type="dxa"/>
          </w:tblCellMar>
        </w:tblPrEx>
        <w:trPr>
          <w:trHeight w:val="454" w:hRule="atLeast"/>
        </w:trPr>
        <w:tc>
          <w:tcPr>
            <w:tcW w:w="2390"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对我国金融机构的债权</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576,723 </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568,079 </w:t>
            </w:r>
          </w:p>
        </w:tc>
      </w:tr>
      <w:tr>
        <w:tblPrEx>
          <w:tblCellMar>
            <w:top w:w="0" w:type="dxa"/>
            <w:left w:w="108" w:type="dxa"/>
            <w:bottom w:w="0" w:type="dxa"/>
            <w:right w:w="108" w:type="dxa"/>
          </w:tblCellMar>
        </w:tblPrEx>
        <w:trPr>
          <w:trHeight w:val="454" w:hRule="atLeast"/>
        </w:trPr>
        <w:tc>
          <w:tcPr>
            <w:tcW w:w="2390"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对在其他国家/地区注册金融机构的债权</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12,164 </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12,164 </w:t>
            </w:r>
          </w:p>
        </w:tc>
      </w:tr>
      <w:tr>
        <w:tblPrEx>
          <w:tblCellMar>
            <w:top w:w="0" w:type="dxa"/>
            <w:left w:w="108" w:type="dxa"/>
            <w:bottom w:w="0" w:type="dxa"/>
            <w:right w:w="108" w:type="dxa"/>
          </w:tblCellMar>
        </w:tblPrEx>
        <w:trPr>
          <w:trHeight w:val="454" w:hRule="atLeast"/>
        </w:trPr>
        <w:tc>
          <w:tcPr>
            <w:tcW w:w="2390"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对一般企(事)业的债权</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988,348 </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860,288 </w:t>
            </w:r>
          </w:p>
        </w:tc>
      </w:tr>
      <w:tr>
        <w:tblPrEx>
          <w:tblCellMar>
            <w:top w:w="0" w:type="dxa"/>
            <w:left w:w="108" w:type="dxa"/>
            <w:bottom w:w="0" w:type="dxa"/>
            <w:right w:w="108" w:type="dxa"/>
          </w:tblCellMar>
        </w:tblPrEx>
        <w:trPr>
          <w:trHeight w:val="454" w:hRule="atLeast"/>
        </w:trPr>
        <w:tc>
          <w:tcPr>
            <w:tcW w:w="2390"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对符合标准的小微企业的债权</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31,021 </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30,025 </w:t>
            </w:r>
          </w:p>
        </w:tc>
      </w:tr>
      <w:tr>
        <w:tblPrEx>
          <w:tblCellMar>
            <w:top w:w="0" w:type="dxa"/>
            <w:left w:w="108" w:type="dxa"/>
            <w:bottom w:w="0" w:type="dxa"/>
            <w:right w:w="108" w:type="dxa"/>
          </w:tblCellMar>
        </w:tblPrEx>
        <w:trPr>
          <w:trHeight w:val="454" w:hRule="atLeast"/>
        </w:trPr>
        <w:tc>
          <w:tcPr>
            <w:tcW w:w="2390"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对个人的债权</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377,743 </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377,687 </w:t>
            </w:r>
          </w:p>
        </w:tc>
      </w:tr>
      <w:tr>
        <w:tblPrEx>
          <w:tblCellMar>
            <w:top w:w="0" w:type="dxa"/>
            <w:left w:w="108" w:type="dxa"/>
            <w:bottom w:w="0" w:type="dxa"/>
            <w:right w:w="108" w:type="dxa"/>
          </w:tblCellMar>
        </w:tblPrEx>
        <w:trPr>
          <w:trHeight w:val="454" w:hRule="atLeast"/>
        </w:trPr>
        <w:tc>
          <w:tcPr>
            <w:tcW w:w="2390"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股权投资</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1,798 </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1,798 </w:t>
            </w:r>
          </w:p>
        </w:tc>
      </w:tr>
      <w:tr>
        <w:tblPrEx>
          <w:tblCellMar>
            <w:top w:w="0" w:type="dxa"/>
            <w:left w:w="108" w:type="dxa"/>
            <w:bottom w:w="0" w:type="dxa"/>
            <w:right w:w="108" w:type="dxa"/>
          </w:tblCellMar>
        </w:tblPrEx>
        <w:trPr>
          <w:trHeight w:val="454" w:hRule="atLeast"/>
        </w:trPr>
        <w:tc>
          <w:tcPr>
            <w:tcW w:w="2390"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资产证券化表内项目</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16,165 </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16,165 </w:t>
            </w:r>
          </w:p>
        </w:tc>
      </w:tr>
      <w:tr>
        <w:tblPrEx>
          <w:tblCellMar>
            <w:top w:w="0" w:type="dxa"/>
            <w:left w:w="108" w:type="dxa"/>
            <w:bottom w:w="0" w:type="dxa"/>
            <w:right w:w="108" w:type="dxa"/>
          </w:tblCellMar>
        </w:tblPrEx>
        <w:trPr>
          <w:trHeight w:val="454" w:hRule="atLeast"/>
        </w:trPr>
        <w:tc>
          <w:tcPr>
            <w:tcW w:w="2390"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其他表内项目</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91,226 </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73,883 </w:t>
            </w:r>
          </w:p>
        </w:tc>
      </w:tr>
      <w:tr>
        <w:tblPrEx>
          <w:tblCellMar>
            <w:top w:w="0" w:type="dxa"/>
            <w:left w:w="108" w:type="dxa"/>
            <w:bottom w:w="0" w:type="dxa"/>
            <w:right w:w="108" w:type="dxa"/>
          </w:tblCellMar>
        </w:tblPrEx>
        <w:trPr>
          <w:trHeight w:val="454" w:hRule="atLeast"/>
        </w:trPr>
        <w:tc>
          <w:tcPr>
            <w:tcW w:w="2390"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表外信用风险暴露小计</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424,366 </w:t>
            </w:r>
          </w:p>
        </w:tc>
        <w:tc>
          <w:tcPr>
            <w:tcW w:w="2394"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244,443 </w:t>
            </w:r>
          </w:p>
        </w:tc>
      </w:tr>
      <w:tr>
        <w:tblPrEx>
          <w:tblCellMar>
            <w:top w:w="0" w:type="dxa"/>
            <w:left w:w="108" w:type="dxa"/>
            <w:bottom w:w="0" w:type="dxa"/>
            <w:right w:w="108" w:type="dxa"/>
          </w:tblCellMar>
        </w:tblPrEx>
        <w:trPr>
          <w:trHeight w:val="454" w:hRule="atLeast"/>
        </w:trPr>
        <w:tc>
          <w:tcPr>
            <w:tcW w:w="2390"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交易对手信用风险暴露小计</w:t>
            </w:r>
          </w:p>
        </w:tc>
        <w:tc>
          <w:tcPr>
            <w:tcW w:w="2394" w:type="dxa"/>
            <w:tcBorders>
              <w:top w:val="single" w:color="auto" w:sz="4" w:space="0"/>
              <w:left w:val="single" w:color="auto" w:sz="4" w:space="0"/>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9,431 </w:t>
            </w:r>
          </w:p>
        </w:tc>
        <w:tc>
          <w:tcPr>
            <w:tcW w:w="2394" w:type="dxa"/>
            <w:tcBorders>
              <w:top w:val="single" w:color="auto" w:sz="4" w:space="0"/>
              <w:left w:val="single" w:color="auto" w:sz="4" w:space="0"/>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8,054 </w:t>
            </w:r>
          </w:p>
        </w:tc>
      </w:tr>
      <w:tr>
        <w:tblPrEx>
          <w:tblCellMar>
            <w:top w:w="0" w:type="dxa"/>
            <w:left w:w="108" w:type="dxa"/>
            <w:bottom w:w="0" w:type="dxa"/>
            <w:right w:w="108" w:type="dxa"/>
          </w:tblCellMar>
        </w:tblPrEx>
        <w:trPr>
          <w:trHeight w:val="454" w:hRule="atLeast"/>
        </w:trPr>
        <w:tc>
          <w:tcPr>
            <w:tcW w:w="2390"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合计</w:t>
            </w:r>
          </w:p>
        </w:tc>
        <w:tc>
          <w:tcPr>
            <w:tcW w:w="2394" w:type="dxa"/>
            <w:tcBorders>
              <w:top w:val="single" w:color="auto" w:sz="4" w:space="0"/>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3,166,631 </w:t>
            </w:r>
          </w:p>
        </w:tc>
        <w:tc>
          <w:tcPr>
            <w:tcW w:w="2394" w:type="dxa"/>
            <w:tcBorders>
              <w:top w:val="single" w:color="auto" w:sz="4" w:space="0"/>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2,830,231 </w:t>
            </w:r>
          </w:p>
        </w:tc>
      </w:tr>
    </w:tbl>
    <w:p>
      <w:pPr>
        <w:spacing w:line="460" w:lineRule="exact"/>
        <w:ind w:firstLine="560" w:firstLineChars="200"/>
        <w:rPr>
          <w:rFonts w:ascii="仿宋_GB2312" w:eastAsia="仿宋_GB2312"/>
          <w:sz w:val="28"/>
          <w:szCs w:val="28"/>
        </w:rPr>
      </w:pPr>
      <w:r>
        <w:rPr>
          <w:rFonts w:ascii="仿宋_GB2312" w:eastAsia="仿宋_GB2312"/>
          <w:sz w:val="28"/>
          <w:szCs w:val="28"/>
        </w:rPr>
        <w:t>20</w:t>
      </w:r>
      <w:r>
        <w:rPr>
          <w:rFonts w:hint="eastAsia" w:ascii="仿宋_GB2312" w:eastAsia="仿宋_GB2312"/>
          <w:sz w:val="28"/>
          <w:szCs w:val="28"/>
        </w:rPr>
        <w:t>22</w:t>
      </w:r>
      <w:r>
        <w:rPr>
          <w:rFonts w:ascii="仿宋_GB2312" w:eastAsia="仿宋_GB2312"/>
          <w:sz w:val="28"/>
          <w:szCs w:val="28"/>
        </w:rPr>
        <w:t>年</w:t>
      </w:r>
      <w:r>
        <w:rPr>
          <w:rFonts w:hint="eastAsia" w:ascii="仿宋_GB2312" w:eastAsia="仿宋_GB2312"/>
          <w:sz w:val="28"/>
          <w:szCs w:val="28"/>
        </w:rPr>
        <w:t>6月30日</w:t>
      </w:r>
      <w:r>
        <w:rPr>
          <w:rFonts w:ascii="仿宋_GB2312" w:eastAsia="仿宋_GB2312"/>
          <w:sz w:val="28"/>
          <w:szCs w:val="28"/>
        </w:rPr>
        <w:t>，本集团表内外信用风险暴露按照风险权重划分的情况如下表所示</w:t>
      </w:r>
      <w:r>
        <w:rPr>
          <w:rFonts w:hint="eastAsia" w:ascii="仿宋_GB2312" w:eastAsia="仿宋_GB2312"/>
          <w:sz w:val="28"/>
          <w:szCs w:val="28"/>
        </w:rPr>
        <w:t>：</w:t>
      </w:r>
    </w:p>
    <w:p>
      <w:pPr>
        <w:pStyle w:val="10"/>
        <w:ind w:firstLine="400"/>
        <w:jc w:val="right"/>
      </w:pPr>
      <w:r>
        <w:rPr>
          <w:rFonts w:hint="eastAsia"/>
        </w:rPr>
        <w:t>单位：百万元人民币</w:t>
      </w:r>
    </w:p>
    <w:tbl>
      <w:tblPr>
        <w:tblStyle w:val="6"/>
        <w:tblW w:w="5000" w:type="pct"/>
        <w:tblInd w:w="0" w:type="dxa"/>
        <w:tblLayout w:type="autofit"/>
        <w:tblCellMar>
          <w:top w:w="0" w:type="dxa"/>
          <w:left w:w="108" w:type="dxa"/>
          <w:bottom w:w="0" w:type="dxa"/>
          <w:right w:w="108" w:type="dxa"/>
        </w:tblCellMar>
      </w:tblPr>
      <w:tblGrid>
        <w:gridCol w:w="2138"/>
        <w:gridCol w:w="3517"/>
        <w:gridCol w:w="3519"/>
      </w:tblGrid>
      <w:tr>
        <w:tblPrEx>
          <w:tblCellMar>
            <w:top w:w="0" w:type="dxa"/>
            <w:left w:w="108" w:type="dxa"/>
            <w:bottom w:w="0" w:type="dxa"/>
            <w:right w:w="108" w:type="dxa"/>
          </w:tblCellMar>
        </w:tblPrEx>
        <w:trPr>
          <w:trHeight w:val="454" w:hRule="atLeast"/>
        </w:trPr>
        <w:tc>
          <w:tcPr>
            <w:tcW w:w="116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风险权重</w:t>
            </w:r>
          </w:p>
        </w:tc>
        <w:tc>
          <w:tcPr>
            <w:tcW w:w="1917"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缓释前风险暴露</w:t>
            </w:r>
          </w:p>
        </w:tc>
        <w:tc>
          <w:tcPr>
            <w:tcW w:w="1917"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缓释后风险暴露</w:t>
            </w:r>
          </w:p>
        </w:tc>
      </w:tr>
      <w:tr>
        <w:tblPrEx>
          <w:tblCellMar>
            <w:top w:w="0" w:type="dxa"/>
            <w:left w:w="108" w:type="dxa"/>
            <w:bottom w:w="0" w:type="dxa"/>
            <w:right w:w="108" w:type="dxa"/>
          </w:tblCellMar>
        </w:tblPrEx>
        <w:trPr>
          <w:trHeight w:val="454" w:hRule="atLeast"/>
        </w:trPr>
        <w:tc>
          <w:tcPr>
            <w:tcW w:w="1166" w:type="pct"/>
            <w:tcBorders>
              <w:top w:val="nil"/>
              <w:left w:val="single" w:color="auto" w:sz="4" w:space="0"/>
              <w:bottom w:val="single" w:color="auto" w:sz="4" w:space="0"/>
              <w:right w:val="single" w:color="auto" w:sz="4" w:space="0"/>
            </w:tcBorders>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0%</w:t>
            </w:r>
          </w:p>
        </w:tc>
        <w:tc>
          <w:tcPr>
            <w:tcW w:w="3517"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514,080 </w:t>
            </w:r>
          </w:p>
        </w:tc>
        <w:tc>
          <w:tcPr>
            <w:tcW w:w="3518"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434,854 </w:t>
            </w:r>
          </w:p>
        </w:tc>
      </w:tr>
      <w:tr>
        <w:tblPrEx>
          <w:tblCellMar>
            <w:top w:w="0" w:type="dxa"/>
            <w:left w:w="108" w:type="dxa"/>
            <w:bottom w:w="0" w:type="dxa"/>
            <w:right w:w="108" w:type="dxa"/>
          </w:tblCellMar>
        </w:tblPrEx>
        <w:trPr>
          <w:trHeight w:val="454" w:hRule="atLeast"/>
        </w:trPr>
        <w:tc>
          <w:tcPr>
            <w:tcW w:w="1166" w:type="pct"/>
            <w:tcBorders>
              <w:top w:val="nil"/>
              <w:left w:val="single" w:color="auto" w:sz="4" w:space="0"/>
              <w:bottom w:val="single" w:color="auto" w:sz="4" w:space="0"/>
              <w:right w:val="single" w:color="auto" w:sz="4" w:space="0"/>
            </w:tcBorders>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20%</w:t>
            </w:r>
          </w:p>
        </w:tc>
        <w:tc>
          <w:tcPr>
            <w:tcW w:w="3517"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462,950 </w:t>
            </w:r>
          </w:p>
        </w:tc>
        <w:tc>
          <w:tcPr>
            <w:tcW w:w="3518"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461,903 </w:t>
            </w:r>
          </w:p>
        </w:tc>
      </w:tr>
      <w:tr>
        <w:tblPrEx>
          <w:tblCellMar>
            <w:top w:w="0" w:type="dxa"/>
            <w:left w:w="108" w:type="dxa"/>
            <w:bottom w:w="0" w:type="dxa"/>
            <w:right w:w="108" w:type="dxa"/>
          </w:tblCellMar>
        </w:tblPrEx>
        <w:trPr>
          <w:trHeight w:val="454" w:hRule="atLeast"/>
        </w:trPr>
        <w:tc>
          <w:tcPr>
            <w:tcW w:w="1166" w:type="pct"/>
            <w:tcBorders>
              <w:top w:val="nil"/>
              <w:left w:val="single" w:color="auto" w:sz="4" w:space="0"/>
              <w:bottom w:val="single" w:color="auto" w:sz="4" w:space="0"/>
              <w:right w:val="single" w:color="auto" w:sz="4" w:space="0"/>
            </w:tcBorders>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25%</w:t>
            </w:r>
          </w:p>
        </w:tc>
        <w:tc>
          <w:tcPr>
            <w:tcW w:w="3517"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190,250 </w:t>
            </w:r>
          </w:p>
        </w:tc>
        <w:tc>
          <w:tcPr>
            <w:tcW w:w="3518"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88,373 </w:t>
            </w:r>
          </w:p>
        </w:tc>
      </w:tr>
      <w:tr>
        <w:tblPrEx>
          <w:tblCellMar>
            <w:top w:w="0" w:type="dxa"/>
            <w:left w:w="108" w:type="dxa"/>
            <w:bottom w:w="0" w:type="dxa"/>
            <w:right w:w="108" w:type="dxa"/>
          </w:tblCellMar>
        </w:tblPrEx>
        <w:trPr>
          <w:trHeight w:val="454" w:hRule="atLeast"/>
        </w:trPr>
        <w:tc>
          <w:tcPr>
            <w:tcW w:w="1166" w:type="pct"/>
            <w:tcBorders>
              <w:top w:val="nil"/>
              <w:left w:val="single" w:color="auto" w:sz="4" w:space="0"/>
              <w:bottom w:val="single" w:color="auto" w:sz="4" w:space="0"/>
              <w:right w:val="single" w:color="auto" w:sz="4" w:space="0"/>
            </w:tcBorders>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50%</w:t>
            </w:r>
          </w:p>
        </w:tc>
        <w:tc>
          <w:tcPr>
            <w:tcW w:w="3517"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161,798 </w:t>
            </w:r>
          </w:p>
        </w:tc>
        <w:tc>
          <w:tcPr>
            <w:tcW w:w="3518"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161,798 </w:t>
            </w:r>
          </w:p>
        </w:tc>
      </w:tr>
      <w:tr>
        <w:tblPrEx>
          <w:tblCellMar>
            <w:top w:w="0" w:type="dxa"/>
            <w:left w:w="108" w:type="dxa"/>
            <w:bottom w:w="0" w:type="dxa"/>
            <w:right w:w="108" w:type="dxa"/>
          </w:tblCellMar>
        </w:tblPrEx>
        <w:trPr>
          <w:trHeight w:val="454" w:hRule="atLeast"/>
        </w:trPr>
        <w:tc>
          <w:tcPr>
            <w:tcW w:w="1166" w:type="pct"/>
            <w:tcBorders>
              <w:top w:val="nil"/>
              <w:left w:val="single" w:color="auto" w:sz="4" w:space="0"/>
              <w:bottom w:val="single" w:color="auto" w:sz="4" w:space="0"/>
              <w:right w:val="single" w:color="auto" w:sz="4" w:space="0"/>
            </w:tcBorders>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75%</w:t>
            </w:r>
          </w:p>
        </w:tc>
        <w:tc>
          <w:tcPr>
            <w:tcW w:w="3517"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262,402 </w:t>
            </w:r>
          </w:p>
        </w:tc>
        <w:tc>
          <w:tcPr>
            <w:tcW w:w="3518"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261,350 </w:t>
            </w:r>
          </w:p>
        </w:tc>
      </w:tr>
      <w:tr>
        <w:tblPrEx>
          <w:tblCellMar>
            <w:top w:w="0" w:type="dxa"/>
            <w:left w:w="108" w:type="dxa"/>
            <w:bottom w:w="0" w:type="dxa"/>
            <w:right w:w="108" w:type="dxa"/>
          </w:tblCellMar>
        </w:tblPrEx>
        <w:trPr>
          <w:trHeight w:val="454" w:hRule="atLeast"/>
        </w:trPr>
        <w:tc>
          <w:tcPr>
            <w:tcW w:w="1166" w:type="pct"/>
            <w:tcBorders>
              <w:top w:val="nil"/>
              <w:left w:val="single" w:color="auto" w:sz="4" w:space="0"/>
              <w:bottom w:val="single" w:color="auto" w:sz="4" w:space="0"/>
              <w:right w:val="single" w:color="auto" w:sz="4" w:space="0"/>
            </w:tcBorders>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100%</w:t>
            </w:r>
          </w:p>
        </w:tc>
        <w:tc>
          <w:tcPr>
            <w:tcW w:w="3517"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1,554,297 </w:t>
            </w:r>
          </w:p>
        </w:tc>
        <w:tc>
          <w:tcPr>
            <w:tcW w:w="3518"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1,401,099 </w:t>
            </w:r>
          </w:p>
        </w:tc>
      </w:tr>
      <w:tr>
        <w:tblPrEx>
          <w:tblCellMar>
            <w:top w:w="0" w:type="dxa"/>
            <w:left w:w="108" w:type="dxa"/>
            <w:bottom w:w="0" w:type="dxa"/>
            <w:right w:w="108" w:type="dxa"/>
          </w:tblCellMar>
        </w:tblPrEx>
        <w:trPr>
          <w:trHeight w:val="454" w:hRule="atLeast"/>
        </w:trPr>
        <w:tc>
          <w:tcPr>
            <w:tcW w:w="1166" w:type="pct"/>
            <w:tcBorders>
              <w:top w:val="nil"/>
              <w:left w:val="single" w:color="auto" w:sz="4" w:space="0"/>
              <w:bottom w:val="single" w:color="auto" w:sz="4" w:space="0"/>
              <w:right w:val="single" w:color="auto" w:sz="4" w:space="0"/>
            </w:tcBorders>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150%</w:t>
            </w:r>
          </w:p>
        </w:tc>
        <w:tc>
          <w:tcPr>
            <w:tcW w:w="3517"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 </w:t>
            </w:r>
          </w:p>
        </w:tc>
        <w:tc>
          <w:tcPr>
            <w:tcW w:w="3518"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 </w:t>
            </w:r>
          </w:p>
        </w:tc>
      </w:tr>
      <w:tr>
        <w:tblPrEx>
          <w:tblCellMar>
            <w:top w:w="0" w:type="dxa"/>
            <w:left w:w="108" w:type="dxa"/>
            <w:bottom w:w="0" w:type="dxa"/>
            <w:right w:w="108" w:type="dxa"/>
          </w:tblCellMar>
        </w:tblPrEx>
        <w:trPr>
          <w:trHeight w:val="454" w:hRule="atLeast"/>
        </w:trPr>
        <w:tc>
          <w:tcPr>
            <w:tcW w:w="1166" w:type="pct"/>
            <w:tcBorders>
              <w:top w:val="nil"/>
              <w:left w:val="single" w:color="auto" w:sz="4" w:space="0"/>
              <w:bottom w:val="single" w:color="auto" w:sz="4" w:space="0"/>
              <w:right w:val="single" w:color="auto" w:sz="4" w:space="0"/>
            </w:tcBorders>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250%</w:t>
            </w:r>
          </w:p>
        </w:tc>
        <w:tc>
          <w:tcPr>
            <w:tcW w:w="3517"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19,482 </w:t>
            </w:r>
          </w:p>
        </w:tc>
        <w:tc>
          <w:tcPr>
            <w:tcW w:w="3518"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19,482 </w:t>
            </w:r>
          </w:p>
        </w:tc>
      </w:tr>
      <w:tr>
        <w:tblPrEx>
          <w:tblCellMar>
            <w:top w:w="0" w:type="dxa"/>
            <w:left w:w="108" w:type="dxa"/>
            <w:bottom w:w="0" w:type="dxa"/>
            <w:right w:w="108" w:type="dxa"/>
          </w:tblCellMar>
        </w:tblPrEx>
        <w:trPr>
          <w:trHeight w:val="454" w:hRule="atLeast"/>
        </w:trPr>
        <w:tc>
          <w:tcPr>
            <w:tcW w:w="1166" w:type="pct"/>
            <w:tcBorders>
              <w:top w:val="nil"/>
              <w:left w:val="single" w:color="auto" w:sz="4" w:space="0"/>
              <w:bottom w:val="single" w:color="auto" w:sz="4" w:space="0"/>
              <w:right w:val="single" w:color="auto" w:sz="4" w:space="0"/>
            </w:tcBorders>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400%</w:t>
            </w:r>
          </w:p>
        </w:tc>
        <w:tc>
          <w:tcPr>
            <w:tcW w:w="3517"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626 </w:t>
            </w:r>
          </w:p>
        </w:tc>
        <w:tc>
          <w:tcPr>
            <w:tcW w:w="3518"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626 </w:t>
            </w:r>
          </w:p>
        </w:tc>
      </w:tr>
      <w:tr>
        <w:tblPrEx>
          <w:tblCellMar>
            <w:top w:w="0" w:type="dxa"/>
            <w:left w:w="108" w:type="dxa"/>
            <w:bottom w:w="0" w:type="dxa"/>
            <w:right w:w="108" w:type="dxa"/>
          </w:tblCellMar>
        </w:tblPrEx>
        <w:trPr>
          <w:trHeight w:val="454" w:hRule="atLeast"/>
        </w:trPr>
        <w:tc>
          <w:tcPr>
            <w:tcW w:w="1166" w:type="pct"/>
            <w:tcBorders>
              <w:top w:val="nil"/>
              <w:left w:val="single" w:color="auto" w:sz="4" w:space="0"/>
              <w:bottom w:val="single" w:color="auto" w:sz="4" w:space="0"/>
              <w:right w:val="single" w:color="auto" w:sz="4" w:space="0"/>
            </w:tcBorders>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625%</w:t>
            </w:r>
          </w:p>
        </w:tc>
        <w:tc>
          <w:tcPr>
            <w:tcW w:w="3517"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 </w:t>
            </w:r>
          </w:p>
        </w:tc>
        <w:tc>
          <w:tcPr>
            <w:tcW w:w="3518"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 </w:t>
            </w:r>
          </w:p>
        </w:tc>
      </w:tr>
      <w:tr>
        <w:tblPrEx>
          <w:tblCellMar>
            <w:top w:w="0" w:type="dxa"/>
            <w:left w:w="108" w:type="dxa"/>
            <w:bottom w:w="0" w:type="dxa"/>
            <w:right w:w="108" w:type="dxa"/>
          </w:tblCellMar>
        </w:tblPrEx>
        <w:trPr>
          <w:trHeight w:val="454" w:hRule="atLeast"/>
        </w:trPr>
        <w:tc>
          <w:tcPr>
            <w:tcW w:w="1166" w:type="pct"/>
            <w:tcBorders>
              <w:top w:val="nil"/>
              <w:left w:val="single" w:color="auto" w:sz="4" w:space="0"/>
              <w:bottom w:val="single" w:color="auto" w:sz="4" w:space="0"/>
              <w:right w:val="single" w:color="auto" w:sz="4" w:space="0"/>
            </w:tcBorders>
            <w:noWrap/>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rPr>
              <w:t>937.5</w:t>
            </w:r>
            <w:r>
              <w:rPr>
                <w:rFonts w:ascii="Arial" w:hAnsi="Arial" w:cs="Arial"/>
                <w:color w:val="000000"/>
                <w:kern w:val="0"/>
                <w:sz w:val="20"/>
                <w:szCs w:val="20"/>
              </w:rPr>
              <w:t>%</w:t>
            </w:r>
          </w:p>
        </w:tc>
        <w:tc>
          <w:tcPr>
            <w:tcW w:w="3517"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 </w:t>
            </w:r>
          </w:p>
        </w:tc>
        <w:tc>
          <w:tcPr>
            <w:tcW w:w="3518"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 </w:t>
            </w:r>
          </w:p>
        </w:tc>
      </w:tr>
      <w:tr>
        <w:tblPrEx>
          <w:tblCellMar>
            <w:top w:w="0" w:type="dxa"/>
            <w:left w:w="108" w:type="dxa"/>
            <w:bottom w:w="0" w:type="dxa"/>
            <w:right w:w="108" w:type="dxa"/>
          </w:tblCellMar>
        </w:tblPrEx>
        <w:trPr>
          <w:trHeight w:val="454" w:hRule="atLeast"/>
        </w:trPr>
        <w:tc>
          <w:tcPr>
            <w:tcW w:w="1166" w:type="pct"/>
            <w:tcBorders>
              <w:top w:val="nil"/>
              <w:left w:val="single" w:color="auto" w:sz="4" w:space="0"/>
              <w:bottom w:val="single" w:color="auto" w:sz="4" w:space="0"/>
              <w:right w:val="single" w:color="auto" w:sz="4" w:space="0"/>
            </w:tcBorders>
            <w:noWrap/>
            <w:vAlign w:val="center"/>
          </w:tcPr>
          <w:p>
            <w:pPr>
              <w:widowControl/>
              <w:jc w:val="center"/>
              <w:rPr>
                <w:rFonts w:ascii="Arial" w:hAnsi="Arial" w:cs="Arial"/>
                <w:color w:val="000000"/>
                <w:kern w:val="0"/>
                <w:sz w:val="20"/>
                <w:szCs w:val="20"/>
              </w:rPr>
            </w:pPr>
            <w:r>
              <w:rPr>
                <w:rFonts w:ascii="Arial" w:hAnsi="Arial" w:cs="Arial"/>
                <w:color w:val="000000"/>
                <w:kern w:val="0"/>
                <w:sz w:val="20"/>
                <w:szCs w:val="20"/>
              </w:rPr>
              <w:t>1250%</w:t>
            </w:r>
          </w:p>
        </w:tc>
        <w:tc>
          <w:tcPr>
            <w:tcW w:w="3517"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745 </w:t>
            </w:r>
          </w:p>
        </w:tc>
        <w:tc>
          <w:tcPr>
            <w:tcW w:w="3518"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745 </w:t>
            </w:r>
          </w:p>
        </w:tc>
      </w:tr>
      <w:tr>
        <w:tblPrEx>
          <w:tblCellMar>
            <w:top w:w="0" w:type="dxa"/>
            <w:left w:w="108" w:type="dxa"/>
            <w:bottom w:w="0" w:type="dxa"/>
            <w:right w:w="108" w:type="dxa"/>
          </w:tblCellMar>
        </w:tblPrEx>
        <w:trPr>
          <w:trHeight w:val="454" w:hRule="atLeast"/>
        </w:trPr>
        <w:tc>
          <w:tcPr>
            <w:tcW w:w="1166" w:type="pc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3517"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3,166,631 </w:t>
            </w:r>
          </w:p>
        </w:tc>
        <w:tc>
          <w:tcPr>
            <w:tcW w:w="3518"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2,830,231 </w:t>
            </w:r>
          </w:p>
        </w:tc>
      </w:tr>
    </w:tbl>
    <w:p>
      <w:pPr>
        <w:pStyle w:val="3"/>
      </w:pPr>
      <w:bookmarkStart w:id="6" w:name="_Toc44399889"/>
      <w:r>
        <w:rPr>
          <w:rFonts w:hint="eastAsia"/>
        </w:rPr>
        <w:t>2、信用风险缓释</w:t>
      </w:r>
      <w:bookmarkEnd w:id="6"/>
    </w:p>
    <w:p>
      <w:pPr>
        <w:spacing w:line="460" w:lineRule="exact"/>
        <w:ind w:firstLine="560" w:firstLineChars="200"/>
        <w:rPr>
          <w:rFonts w:ascii="仿宋_GB2312" w:eastAsia="仿宋_GB2312"/>
          <w:sz w:val="28"/>
          <w:szCs w:val="28"/>
        </w:rPr>
      </w:pPr>
      <w:r>
        <w:rPr>
          <w:rFonts w:hint="eastAsia" w:ascii="仿宋_GB2312" w:eastAsia="仿宋_GB2312"/>
          <w:sz w:val="28"/>
          <w:szCs w:val="28"/>
        </w:rPr>
        <w:t>本集团在计量权重法下的信用风险加权资产时，仅考虑《资本管理办法》中认可的权重法下的合格抵质押品或合格保证人的风险缓释作用，2022年6月30日，本集团权重法信用风险暴露的风险缓释分布情况如下表所示：</w:t>
      </w:r>
    </w:p>
    <w:p>
      <w:pPr>
        <w:pStyle w:val="10"/>
        <w:ind w:firstLine="400"/>
        <w:jc w:val="right"/>
      </w:pPr>
      <w:r>
        <w:rPr>
          <w:rFonts w:hint="eastAsia"/>
        </w:rPr>
        <w:t>单位：百万元人民币</w:t>
      </w:r>
    </w:p>
    <w:tbl>
      <w:tblPr>
        <w:tblStyle w:val="6"/>
        <w:tblW w:w="4952" w:type="pct"/>
        <w:tblInd w:w="0" w:type="dxa"/>
        <w:tblLayout w:type="fixed"/>
        <w:tblCellMar>
          <w:top w:w="0" w:type="dxa"/>
          <w:left w:w="108" w:type="dxa"/>
          <w:bottom w:w="0" w:type="dxa"/>
          <w:right w:w="108" w:type="dxa"/>
        </w:tblCellMar>
      </w:tblPr>
      <w:tblGrid>
        <w:gridCol w:w="2011"/>
        <w:gridCol w:w="1277"/>
        <w:gridCol w:w="2722"/>
        <w:gridCol w:w="1201"/>
        <w:gridCol w:w="1875"/>
      </w:tblGrid>
      <w:tr>
        <w:tblPrEx>
          <w:tblCellMar>
            <w:top w:w="0" w:type="dxa"/>
            <w:left w:w="108" w:type="dxa"/>
            <w:bottom w:w="0" w:type="dxa"/>
            <w:right w:w="108" w:type="dxa"/>
          </w:tblCellMar>
        </w:tblPrEx>
        <w:trPr>
          <w:trHeight w:val="552" w:hRule="atLeast"/>
        </w:trPr>
        <w:tc>
          <w:tcPr>
            <w:tcW w:w="1106"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color w:val="000000"/>
                <w:kern w:val="0"/>
                <w:sz w:val="20"/>
                <w:szCs w:val="20"/>
              </w:rPr>
            </w:pPr>
          </w:p>
        </w:tc>
        <w:tc>
          <w:tcPr>
            <w:tcW w:w="702"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现金类</w:t>
            </w:r>
          </w:p>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资产</w:t>
            </w:r>
          </w:p>
        </w:tc>
        <w:tc>
          <w:tcPr>
            <w:tcW w:w="1497"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我国中央政府、中国人民银行、我国政策性银行</w:t>
            </w:r>
          </w:p>
        </w:tc>
        <w:tc>
          <w:tcPr>
            <w:tcW w:w="660"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我国公共部门实体</w:t>
            </w:r>
          </w:p>
        </w:tc>
        <w:tc>
          <w:tcPr>
            <w:tcW w:w="1031" w:type="pct"/>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我国商业银行</w:t>
            </w:r>
          </w:p>
        </w:tc>
      </w:tr>
      <w:tr>
        <w:tblPrEx>
          <w:tblCellMar>
            <w:top w:w="0" w:type="dxa"/>
            <w:left w:w="108" w:type="dxa"/>
            <w:bottom w:w="0" w:type="dxa"/>
            <w:right w:w="108" w:type="dxa"/>
          </w:tblCellMar>
        </w:tblPrEx>
        <w:trPr>
          <w:trHeight w:val="454" w:hRule="atLeast"/>
        </w:trPr>
        <w:tc>
          <w:tcPr>
            <w:tcW w:w="1106"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表内信用风险</w:t>
            </w:r>
          </w:p>
        </w:tc>
        <w:tc>
          <w:tcPr>
            <w:tcW w:w="1277"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38,751 </w:t>
            </w:r>
          </w:p>
        </w:tc>
        <w:tc>
          <w:tcPr>
            <w:tcW w:w="2722"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24,239 </w:t>
            </w:r>
          </w:p>
        </w:tc>
        <w:tc>
          <w:tcPr>
            <w:tcW w:w="1201"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 </w:t>
            </w:r>
          </w:p>
        </w:tc>
        <w:tc>
          <w:tcPr>
            <w:tcW w:w="1875"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92,062 </w:t>
            </w:r>
          </w:p>
        </w:tc>
      </w:tr>
      <w:tr>
        <w:tblPrEx>
          <w:tblCellMar>
            <w:top w:w="0" w:type="dxa"/>
            <w:left w:w="108" w:type="dxa"/>
            <w:bottom w:w="0" w:type="dxa"/>
            <w:right w:w="108" w:type="dxa"/>
          </w:tblCellMar>
        </w:tblPrEx>
        <w:trPr>
          <w:trHeight w:val="454" w:hRule="atLeast"/>
        </w:trPr>
        <w:tc>
          <w:tcPr>
            <w:tcW w:w="1106"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表外信用风险</w:t>
            </w:r>
          </w:p>
        </w:tc>
        <w:tc>
          <w:tcPr>
            <w:tcW w:w="1277"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79,075 </w:t>
            </w:r>
          </w:p>
        </w:tc>
        <w:tc>
          <w:tcPr>
            <w:tcW w:w="2722"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 </w:t>
            </w:r>
          </w:p>
        </w:tc>
        <w:tc>
          <w:tcPr>
            <w:tcW w:w="1201"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 </w:t>
            </w:r>
          </w:p>
        </w:tc>
        <w:tc>
          <w:tcPr>
            <w:tcW w:w="1875"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100,848 </w:t>
            </w:r>
          </w:p>
        </w:tc>
      </w:tr>
      <w:tr>
        <w:tblPrEx>
          <w:tblCellMar>
            <w:top w:w="0" w:type="dxa"/>
            <w:left w:w="108" w:type="dxa"/>
            <w:bottom w:w="0" w:type="dxa"/>
            <w:right w:w="108" w:type="dxa"/>
          </w:tblCellMar>
        </w:tblPrEx>
        <w:trPr>
          <w:trHeight w:val="454" w:hRule="atLeast"/>
        </w:trPr>
        <w:tc>
          <w:tcPr>
            <w:tcW w:w="1106"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交易对手信用风险</w:t>
            </w:r>
          </w:p>
        </w:tc>
        <w:tc>
          <w:tcPr>
            <w:tcW w:w="1277"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ascii="Arial" w:hAnsi="Arial" w:cs="Arial"/>
                <w:color w:val="000000"/>
                <w:kern w:val="0"/>
                <w:sz w:val="20"/>
                <w:szCs w:val="21"/>
              </w:rPr>
              <w:t>87</w:t>
            </w:r>
          </w:p>
        </w:tc>
        <w:tc>
          <w:tcPr>
            <w:tcW w:w="272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ascii="Arial" w:hAnsi="Arial" w:cs="Arial"/>
                <w:color w:val="000000"/>
                <w:kern w:val="0"/>
                <w:sz w:val="20"/>
                <w:szCs w:val="21"/>
              </w:rPr>
              <w:t xml:space="preserve">1072 </w:t>
            </w:r>
          </w:p>
        </w:tc>
        <w:tc>
          <w:tcPr>
            <w:tcW w:w="1201" w:type="dxa"/>
            <w:tcBorders>
              <w:top w:val="nil"/>
              <w:left w:val="nil"/>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w:t>
            </w:r>
          </w:p>
        </w:tc>
        <w:tc>
          <w:tcPr>
            <w:tcW w:w="1875"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ascii="Arial" w:hAnsi="Arial" w:cs="Arial"/>
                <w:color w:val="000000"/>
                <w:kern w:val="0"/>
                <w:sz w:val="20"/>
                <w:szCs w:val="21"/>
              </w:rPr>
              <w:t xml:space="preserve">218 </w:t>
            </w:r>
          </w:p>
        </w:tc>
      </w:tr>
      <w:tr>
        <w:tblPrEx>
          <w:tblCellMar>
            <w:top w:w="0" w:type="dxa"/>
            <w:left w:w="108" w:type="dxa"/>
            <w:bottom w:w="0" w:type="dxa"/>
            <w:right w:w="108" w:type="dxa"/>
          </w:tblCellMar>
        </w:tblPrEx>
        <w:trPr>
          <w:trHeight w:val="454" w:hRule="atLeast"/>
        </w:trPr>
        <w:tc>
          <w:tcPr>
            <w:tcW w:w="1106"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合计</w:t>
            </w:r>
          </w:p>
        </w:tc>
        <w:tc>
          <w:tcPr>
            <w:tcW w:w="1277" w:type="dxa"/>
            <w:tcBorders>
              <w:top w:val="single" w:color="auto" w:sz="4" w:space="0"/>
              <w:left w:val="single" w:color="auto" w:sz="4" w:space="0"/>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117,913 </w:t>
            </w:r>
          </w:p>
        </w:tc>
        <w:tc>
          <w:tcPr>
            <w:tcW w:w="2722" w:type="dxa"/>
            <w:tcBorders>
              <w:top w:val="single" w:color="auto" w:sz="4" w:space="0"/>
              <w:left w:val="single" w:color="auto" w:sz="4" w:space="0"/>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25,311 </w:t>
            </w:r>
          </w:p>
        </w:tc>
        <w:tc>
          <w:tcPr>
            <w:tcW w:w="1201" w:type="dxa"/>
            <w:tcBorders>
              <w:top w:val="single" w:color="auto" w:sz="4" w:space="0"/>
              <w:left w:val="single" w:color="auto" w:sz="4" w:space="0"/>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ascii="Arial" w:hAnsi="Arial" w:cs="Arial"/>
                <w:color w:val="000000"/>
                <w:kern w:val="0"/>
                <w:sz w:val="20"/>
                <w:szCs w:val="21"/>
              </w:rPr>
              <w:t>-</w:t>
            </w:r>
            <w:r>
              <w:rPr>
                <w:rFonts w:hint="eastAsia" w:ascii="Arial" w:hAnsi="Arial" w:cs="Arial"/>
                <w:color w:val="000000"/>
                <w:kern w:val="0"/>
                <w:sz w:val="20"/>
                <w:szCs w:val="21"/>
              </w:rPr>
              <w:t xml:space="preserve"> </w:t>
            </w:r>
          </w:p>
        </w:tc>
        <w:tc>
          <w:tcPr>
            <w:tcW w:w="1875" w:type="dxa"/>
            <w:tcBorders>
              <w:top w:val="single" w:color="auto" w:sz="4" w:space="0"/>
              <w:left w:val="single" w:color="auto" w:sz="4" w:space="0"/>
              <w:bottom w:val="single" w:color="auto" w:sz="4" w:space="0"/>
              <w:right w:val="single" w:color="auto" w:sz="4" w:space="0"/>
            </w:tcBorders>
            <w:noWrap/>
            <w:vAlign w:val="bottom"/>
          </w:tcPr>
          <w:p>
            <w:pPr>
              <w:widowControl/>
              <w:jc w:val="right"/>
              <w:rPr>
                <w:rFonts w:ascii="Arial" w:hAnsi="Arial" w:cs="Arial"/>
                <w:color w:val="000000"/>
                <w:kern w:val="0"/>
                <w:sz w:val="20"/>
                <w:szCs w:val="21"/>
              </w:rPr>
            </w:pPr>
            <w:r>
              <w:rPr>
                <w:rFonts w:hint="eastAsia" w:ascii="Arial" w:hAnsi="Arial" w:cs="Arial"/>
                <w:color w:val="000000"/>
                <w:kern w:val="0"/>
                <w:sz w:val="20"/>
                <w:szCs w:val="21"/>
              </w:rPr>
              <w:t xml:space="preserve">193,128 </w:t>
            </w:r>
          </w:p>
        </w:tc>
      </w:tr>
    </w:tbl>
    <w:p>
      <w:pPr>
        <w:pStyle w:val="3"/>
        <w:rPr>
          <w:highlight w:val="yellow"/>
        </w:rPr>
      </w:pPr>
      <w:bookmarkStart w:id="7" w:name="_Toc44399890"/>
      <w:r>
        <w:rPr>
          <w:rFonts w:hint="eastAsia"/>
        </w:rPr>
        <w:t>3、贷款质量及贷款损失准备</w:t>
      </w:r>
      <w:bookmarkEnd w:id="7"/>
    </w:p>
    <w:p>
      <w:pPr>
        <w:spacing w:line="460" w:lineRule="exact"/>
        <w:ind w:firstLine="560" w:firstLineChars="200"/>
        <w:rPr>
          <w:rFonts w:ascii="仿宋_GB2312" w:eastAsia="仿宋_GB2312"/>
          <w:b/>
          <w:sz w:val="28"/>
          <w:szCs w:val="28"/>
        </w:rPr>
      </w:pPr>
      <w:r>
        <w:rPr>
          <w:rFonts w:ascii="仿宋_GB2312" w:eastAsia="仿宋_GB2312"/>
          <w:sz w:val="28"/>
          <w:szCs w:val="28"/>
        </w:rPr>
        <w:t>20</w:t>
      </w:r>
      <w:r>
        <w:rPr>
          <w:rFonts w:hint="eastAsia" w:ascii="仿宋_GB2312" w:eastAsia="仿宋_GB2312"/>
          <w:sz w:val="28"/>
          <w:szCs w:val="28"/>
        </w:rPr>
        <w:t>22</w:t>
      </w:r>
      <w:r>
        <w:rPr>
          <w:rFonts w:ascii="仿宋_GB2312" w:eastAsia="仿宋_GB2312"/>
          <w:sz w:val="28"/>
          <w:szCs w:val="28"/>
        </w:rPr>
        <w:t>年</w:t>
      </w:r>
      <w:r>
        <w:rPr>
          <w:rFonts w:hint="eastAsia" w:ascii="仿宋_GB2312" w:eastAsia="仿宋_GB2312"/>
          <w:sz w:val="28"/>
          <w:szCs w:val="28"/>
        </w:rPr>
        <w:t>6月30日</w:t>
      </w:r>
      <w:r>
        <w:rPr>
          <w:rFonts w:ascii="仿宋_GB2312" w:eastAsia="仿宋_GB2312"/>
          <w:sz w:val="28"/>
          <w:szCs w:val="28"/>
        </w:rPr>
        <w:t>，本集团</w:t>
      </w:r>
      <w:r>
        <w:rPr>
          <w:rFonts w:hint="eastAsia" w:ascii="仿宋_GB2312" w:eastAsia="仿宋_GB2312"/>
          <w:sz w:val="28"/>
          <w:szCs w:val="28"/>
        </w:rPr>
        <w:t>贷款五级分类分布情况如下表所示：</w:t>
      </w:r>
    </w:p>
    <w:p>
      <w:pPr>
        <w:pStyle w:val="10"/>
        <w:ind w:firstLine="0" w:firstLineChars="0"/>
        <w:jc w:val="right"/>
      </w:pPr>
      <w:r>
        <w:rPr>
          <w:rFonts w:hint="eastAsia"/>
        </w:rPr>
        <w:t>单位：百万元人民币，</w:t>
      </w:r>
      <w:r>
        <w:t>%</w:t>
      </w:r>
    </w:p>
    <w:tbl>
      <w:tblPr>
        <w:tblStyle w:val="6"/>
        <w:tblW w:w="5000" w:type="pct"/>
        <w:tblInd w:w="0" w:type="dxa"/>
        <w:tblLayout w:type="autofit"/>
        <w:tblCellMar>
          <w:top w:w="0" w:type="dxa"/>
          <w:left w:w="108" w:type="dxa"/>
          <w:bottom w:w="0" w:type="dxa"/>
          <w:right w:w="108" w:type="dxa"/>
        </w:tblCellMar>
      </w:tblPr>
      <w:tblGrid>
        <w:gridCol w:w="2050"/>
        <w:gridCol w:w="1780"/>
        <w:gridCol w:w="1782"/>
        <w:gridCol w:w="1780"/>
        <w:gridCol w:w="1782"/>
      </w:tblGrid>
      <w:tr>
        <w:tblPrEx>
          <w:tblCellMar>
            <w:top w:w="0" w:type="dxa"/>
            <w:left w:w="108" w:type="dxa"/>
            <w:bottom w:w="0" w:type="dxa"/>
            <w:right w:w="108" w:type="dxa"/>
          </w:tblCellMar>
        </w:tblPrEx>
        <w:trPr>
          <w:trHeight w:val="454" w:hRule="atLeast"/>
        </w:trPr>
        <w:tc>
          <w:tcPr>
            <w:tcW w:w="1118"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项目</w:t>
            </w:r>
          </w:p>
        </w:tc>
        <w:tc>
          <w:tcPr>
            <w:tcW w:w="1941" w:type="pct"/>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2022年6月30日</w:t>
            </w:r>
          </w:p>
        </w:tc>
        <w:tc>
          <w:tcPr>
            <w:tcW w:w="1941" w:type="pct"/>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2021年12月31日</w:t>
            </w:r>
          </w:p>
        </w:tc>
      </w:tr>
      <w:tr>
        <w:tblPrEx>
          <w:tblCellMar>
            <w:top w:w="0" w:type="dxa"/>
            <w:left w:w="108" w:type="dxa"/>
            <w:bottom w:w="0" w:type="dxa"/>
            <w:right w:w="108" w:type="dxa"/>
          </w:tblCellMar>
        </w:tblPrEx>
        <w:trPr>
          <w:trHeight w:val="454" w:hRule="atLeast"/>
        </w:trPr>
        <w:tc>
          <w:tcPr>
            <w:tcW w:w="111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color w:val="000000"/>
                <w:kern w:val="0"/>
                <w:sz w:val="20"/>
                <w:szCs w:val="20"/>
              </w:rPr>
            </w:pPr>
          </w:p>
        </w:tc>
        <w:tc>
          <w:tcPr>
            <w:tcW w:w="970" w:type="pct"/>
            <w:tcBorders>
              <w:top w:val="nil"/>
              <w:left w:val="nil"/>
              <w:bottom w:val="single" w:color="auto" w:sz="4" w:space="0"/>
              <w:right w:val="single" w:color="auto" w:sz="4" w:space="0"/>
            </w:tcBorders>
            <w:noWrap/>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金额</w:t>
            </w:r>
          </w:p>
        </w:tc>
        <w:tc>
          <w:tcPr>
            <w:tcW w:w="971" w:type="pct"/>
            <w:tcBorders>
              <w:top w:val="nil"/>
              <w:left w:val="nil"/>
              <w:bottom w:val="single" w:color="auto" w:sz="4" w:space="0"/>
              <w:right w:val="single" w:color="auto" w:sz="4" w:space="0"/>
            </w:tcBorders>
            <w:noWrap/>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占比(%)</w:t>
            </w:r>
          </w:p>
        </w:tc>
        <w:tc>
          <w:tcPr>
            <w:tcW w:w="970" w:type="pct"/>
            <w:tcBorders>
              <w:top w:val="nil"/>
              <w:left w:val="nil"/>
              <w:bottom w:val="single" w:color="auto" w:sz="4" w:space="0"/>
              <w:right w:val="single" w:color="auto" w:sz="4" w:space="0"/>
            </w:tcBorders>
            <w:noWrap/>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金额</w:t>
            </w:r>
          </w:p>
        </w:tc>
        <w:tc>
          <w:tcPr>
            <w:tcW w:w="971" w:type="pct"/>
            <w:tcBorders>
              <w:top w:val="nil"/>
              <w:left w:val="nil"/>
              <w:bottom w:val="single" w:color="auto" w:sz="4" w:space="0"/>
              <w:right w:val="single" w:color="auto" w:sz="4" w:space="0"/>
            </w:tcBorders>
            <w:noWrap/>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占比(%)</w:t>
            </w:r>
          </w:p>
        </w:tc>
      </w:tr>
      <w:tr>
        <w:tblPrEx>
          <w:tblCellMar>
            <w:top w:w="0" w:type="dxa"/>
            <w:left w:w="108" w:type="dxa"/>
            <w:bottom w:w="0" w:type="dxa"/>
            <w:right w:w="108" w:type="dxa"/>
          </w:tblCellMar>
        </w:tblPrEx>
        <w:trPr>
          <w:trHeight w:val="454" w:hRule="atLeast"/>
        </w:trPr>
        <w:tc>
          <w:tcPr>
            <w:tcW w:w="1118"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正常</w:t>
            </w:r>
          </w:p>
        </w:tc>
        <w:tc>
          <w:tcPr>
            <w:tcW w:w="1780"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1,240,269</w:t>
            </w:r>
          </w:p>
        </w:tc>
        <w:tc>
          <w:tcPr>
            <w:tcW w:w="178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97.09%</w:t>
            </w:r>
          </w:p>
        </w:tc>
        <w:tc>
          <w:tcPr>
            <w:tcW w:w="1780"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1,188,202</w:t>
            </w:r>
          </w:p>
        </w:tc>
        <w:tc>
          <w:tcPr>
            <w:tcW w:w="178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97.10%</w:t>
            </w:r>
          </w:p>
        </w:tc>
      </w:tr>
      <w:tr>
        <w:tblPrEx>
          <w:tblCellMar>
            <w:top w:w="0" w:type="dxa"/>
            <w:left w:w="108" w:type="dxa"/>
            <w:bottom w:w="0" w:type="dxa"/>
            <w:right w:w="108" w:type="dxa"/>
          </w:tblCellMar>
        </w:tblPrEx>
        <w:trPr>
          <w:trHeight w:val="454" w:hRule="atLeast"/>
        </w:trPr>
        <w:tc>
          <w:tcPr>
            <w:tcW w:w="1118"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关注</w:t>
            </w:r>
          </w:p>
        </w:tc>
        <w:tc>
          <w:tcPr>
            <w:tcW w:w="1780"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21,270</w:t>
            </w:r>
          </w:p>
        </w:tc>
        <w:tc>
          <w:tcPr>
            <w:tcW w:w="178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1.66%</w:t>
            </w:r>
          </w:p>
        </w:tc>
        <w:tc>
          <w:tcPr>
            <w:tcW w:w="1780"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20,251</w:t>
            </w:r>
          </w:p>
        </w:tc>
        <w:tc>
          <w:tcPr>
            <w:tcW w:w="178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1.65%</w:t>
            </w:r>
          </w:p>
        </w:tc>
      </w:tr>
      <w:tr>
        <w:tblPrEx>
          <w:tblCellMar>
            <w:top w:w="0" w:type="dxa"/>
            <w:left w:w="108" w:type="dxa"/>
            <w:bottom w:w="0" w:type="dxa"/>
            <w:right w:w="108" w:type="dxa"/>
          </w:tblCellMar>
        </w:tblPrEx>
        <w:trPr>
          <w:trHeight w:val="454" w:hRule="atLeast"/>
        </w:trPr>
        <w:tc>
          <w:tcPr>
            <w:tcW w:w="1118"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不良贷款</w:t>
            </w:r>
          </w:p>
        </w:tc>
        <w:tc>
          <w:tcPr>
            <w:tcW w:w="1780"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15,938</w:t>
            </w:r>
          </w:p>
        </w:tc>
        <w:tc>
          <w:tcPr>
            <w:tcW w:w="178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1.25%</w:t>
            </w:r>
          </w:p>
        </w:tc>
        <w:tc>
          <w:tcPr>
            <w:tcW w:w="1780"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15,295</w:t>
            </w:r>
          </w:p>
        </w:tc>
        <w:tc>
          <w:tcPr>
            <w:tcW w:w="178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1.25%</w:t>
            </w:r>
          </w:p>
        </w:tc>
      </w:tr>
      <w:tr>
        <w:tblPrEx>
          <w:tblCellMar>
            <w:top w:w="0" w:type="dxa"/>
            <w:left w:w="108" w:type="dxa"/>
            <w:bottom w:w="0" w:type="dxa"/>
            <w:right w:w="108" w:type="dxa"/>
          </w:tblCellMar>
        </w:tblPrEx>
        <w:trPr>
          <w:trHeight w:val="454" w:hRule="atLeast"/>
        </w:trPr>
        <w:tc>
          <w:tcPr>
            <w:tcW w:w="1118"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次级</w:t>
            </w:r>
          </w:p>
        </w:tc>
        <w:tc>
          <w:tcPr>
            <w:tcW w:w="1780"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6,460</w:t>
            </w:r>
          </w:p>
        </w:tc>
        <w:tc>
          <w:tcPr>
            <w:tcW w:w="178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0.51%</w:t>
            </w:r>
          </w:p>
        </w:tc>
        <w:tc>
          <w:tcPr>
            <w:tcW w:w="1780"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7,196</w:t>
            </w:r>
          </w:p>
        </w:tc>
        <w:tc>
          <w:tcPr>
            <w:tcW w:w="178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0.59%</w:t>
            </w:r>
          </w:p>
        </w:tc>
      </w:tr>
      <w:tr>
        <w:tblPrEx>
          <w:tblCellMar>
            <w:top w:w="0" w:type="dxa"/>
            <w:left w:w="108" w:type="dxa"/>
            <w:bottom w:w="0" w:type="dxa"/>
            <w:right w:w="108" w:type="dxa"/>
          </w:tblCellMar>
        </w:tblPrEx>
        <w:trPr>
          <w:trHeight w:val="454" w:hRule="atLeast"/>
        </w:trPr>
        <w:tc>
          <w:tcPr>
            <w:tcW w:w="1118"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可疑</w:t>
            </w:r>
          </w:p>
        </w:tc>
        <w:tc>
          <w:tcPr>
            <w:tcW w:w="1780"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7,039</w:t>
            </w:r>
          </w:p>
        </w:tc>
        <w:tc>
          <w:tcPr>
            <w:tcW w:w="178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0.55%</w:t>
            </w:r>
          </w:p>
        </w:tc>
        <w:tc>
          <w:tcPr>
            <w:tcW w:w="1780"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4,565</w:t>
            </w:r>
          </w:p>
        </w:tc>
        <w:tc>
          <w:tcPr>
            <w:tcW w:w="178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0.37%</w:t>
            </w:r>
          </w:p>
        </w:tc>
      </w:tr>
      <w:tr>
        <w:tblPrEx>
          <w:tblCellMar>
            <w:top w:w="0" w:type="dxa"/>
            <w:left w:w="108" w:type="dxa"/>
            <w:bottom w:w="0" w:type="dxa"/>
            <w:right w:w="108" w:type="dxa"/>
          </w:tblCellMar>
        </w:tblPrEx>
        <w:trPr>
          <w:trHeight w:val="454" w:hRule="atLeast"/>
        </w:trPr>
        <w:tc>
          <w:tcPr>
            <w:tcW w:w="1118"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损失</w:t>
            </w:r>
          </w:p>
        </w:tc>
        <w:tc>
          <w:tcPr>
            <w:tcW w:w="1780"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2,439</w:t>
            </w:r>
          </w:p>
        </w:tc>
        <w:tc>
          <w:tcPr>
            <w:tcW w:w="178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0.19%</w:t>
            </w:r>
          </w:p>
        </w:tc>
        <w:tc>
          <w:tcPr>
            <w:tcW w:w="1780"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3,534</w:t>
            </w:r>
          </w:p>
        </w:tc>
        <w:tc>
          <w:tcPr>
            <w:tcW w:w="178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0.29%</w:t>
            </w:r>
          </w:p>
        </w:tc>
      </w:tr>
      <w:tr>
        <w:tblPrEx>
          <w:tblCellMar>
            <w:top w:w="0" w:type="dxa"/>
            <w:left w:w="108" w:type="dxa"/>
            <w:bottom w:w="0" w:type="dxa"/>
            <w:right w:w="108" w:type="dxa"/>
          </w:tblCellMar>
        </w:tblPrEx>
        <w:trPr>
          <w:trHeight w:val="454" w:hRule="atLeast"/>
        </w:trPr>
        <w:tc>
          <w:tcPr>
            <w:tcW w:w="1118"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合计</w:t>
            </w:r>
          </w:p>
        </w:tc>
        <w:tc>
          <w:tcPr>
            <w:tcW w:w="1780"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1,277,476</w:t>
            </w:r>
          </w:p>
        </w:tc>
        <w:tc>
          <w:tcPr>
            <w:tcW w:w="178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100.00%</w:t>
            </w:r>
          </w:p>
        </w:tc>
        <w:tc>
          <w:tcPr>
            <w:tcW w:w="1780"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1,223,748</w:t>
            </w:r>
          </w:p>
        </w:tc>
        <w:tc>
          <w:tcPr>
            <w:tcW w:w="1782"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1"/>
              </w:rPr>
            </w:pPr>
            <w:r>
              <w:rPr>
                <w:rFonts w:hint="eastAsia" w:ascii="Arial" w:hAnsi="Arial" w:cs="Arial"/>
                <w:color w:val="000000"/>
                <w:kern w:val="0"/>
                <w:sz w:val="20"/>
                <w:szCs w:val="21"/>
              </w:rPr>
              <w:t>100.00%</w:t>
            </w:r>
          </w:p>
        </w:tc>
      </w:tr>
      <w:tr>
        <w:tblPrEx>
          <w:tblCellMar>
            <w:top w:w="0" w:type="dxa"/>
            <w:left w:w="108" w:type="dxa"/>
            <w:bottom w:w="0" w:type="dxa"/>
            <w:right w:w="108" w:type="dxa"/>
          </w:tblCellMar>
        </w:tblPrEx>
        <w:trPr>
          <w:trHeight w:val="454" w:hRule="atLeast"/>
        </w:trPr>
        <w:tc>
          <w:tcPr>
            <w:tcW w:w="1118"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逾期贷款</w:t>
            </w:r>
          </w:p>
        </w:tc>
        <w:tc>
          <w:tcPr>
            <w:tcW w:w="1780" w:type="dxa"/>
            <w:tcBorders>
              <w:top w:val="nil"/>
              <w:left w:val="nil"/>
              <w:bottom w:val="single" w:color="auto" w:sz="4" w:space="0"/>
              <w:right w:val="single" w:color="auto" w:sz="4" w:space="0"/>
            </w:tcBorders>
            <w:noWrap/>
            <w:vAlign w:val="center"/>
          </w:tcPr>
          <w:p>
            <w:pPr>
              <w:widowControl/>
              <w:jc w:val="right"/>
              <w:textAlignment w:val="auto"/>
              <w:rPr>
                <w:rFonts w:hint="eastAsia" w:ascii="Arial" w:hAnsi="Arial" w:eastAsia="Times New Roman" w:cs="Arial"/>
                <w:color w:val="000000"/>
                <w:kern w:val="0"/>
                <w:sz w:val="20"/>
                <w:szCs w:val="21"/>
              </w:rPr>
            </w:pPr>
            <w:r>
              <w:rPr>
                <w:rFonts w:hint="eastAsia" w:ascii="Arial" w:hAnsi="Arial" w:eastAsia="Times New Roman" w:cs="Arial"/>
                <w:color w:val="000000"/>
                <w:kern w:val="0"/>
                <w:sz w:val="20"/>
                <w:szCs w:val="21"/>
              </w:rPr>
              <w:t>23,709</w:t>
            </w:r>
          </w:p>
        </w:tc>
        <w:tc>
          <w:tcPr>
            <w:tcW w:w="1782" w:type="dxa"/>
            <w:tcBorders>
              <w:top w:val="nil"/>
              <w:left w:val="nil"/>
              <w:bottom w:val="single" w:color="auto" w:sz="4" w:space="0"/>
              <w:right w:val="single" w:color="auto" w:sz="4" w:space="0"/>
            </w:tcBorders>
            <w:noWrap/>
            <w:vAlign w:val="center"/>
          </w:tcPr>
          <w:p>
            <w:pPr>
              <w:widowControl/>
              <w:jc w:val="right"/>
              <w:textAlignment w:val="auto"/>
              <w:rPr>
                <w:rFonts w:hint="eastAsia" w:ascii="Arial" w:hAnsi="Arial" w:eastAsia="Times New Roman" w:cs="Arial"/>
                <w:color w:val="000000"/>
                <w:kern w:val="0"/>
                <w:sz w:val="20"/>
                <w:szCs w:val="21"/>
              </w:rPr>
            </w:pPr>
            <w:r>
              <w:rPr>
                <w:rFonts w:hint="eastAsia" w:ascii="Arial" w:hAnsi="Arial" w:eastAsia="Times New Roman" w:cs="Arial"/>
                <w:color w:val="000000"/>
                <w:kern w:val="0"/>
                <w:sz w:val="20"/>
                <w:szCs w:val="21"/>
              </w:rPr>
              <w:t>1.86%</w:t>
            </w:r>
          </w:p>
        </w:tc>
        <w:tc>
          <w:tcPr>
            <w:tcW w:w="1780" w:type="dxa"/>
            <w:tcBorders>
              <w:top w:val="nil"/>
              <w:left w:val="nil"/>
              <w:bottom w:val="single" w:color="auto" w:sz="4" w:space="0"/>
              <w:right w:val="single" w:color="auto" w:sz="4" w:space="0"/>
            </w:tcBorders>
            <w:noWrap/>
            <w:vAlign w:val="center"/>
          </w:tcPr>
          <w:p>
            <w:pPr>
              <w:widowControl/>
              <w:jc w:val="right"/>
              <w:textAlignment w:val="auto"/>
              <w:rPr>
                <w:rFonts w:hint="eastAsia" w:ascii="Arial" w:hAnsi="Arial" w:eastAsia="Times New Roman" w:cs="Arial"/>
                <w:color w:val="000000"/>
                <w:kern w:val="0"/>
                <w:sz w:val="20"/>
                <w:szCs w:val="21"/>
              </w:rPr>
            </w:pPr>
            <w:r>
              <w:rPr>
                <w:rFonts w:hint="eastAsia" w:ascii="Arial" w:hAnsi="Arial" w:eastAsia="Times New Roman" w:cs="Arial"/>
                <w:color w:val="000000"/>
                <w:kern w:val="0"/>
                <w:sz w:val="20"/>
                <w:szCs w:val="21"/>
              </w:rPr>
              <w:t>25,411</w:t>
            </w:r>
          </w:p>
        </w:tc>
        <w:tc>
          <w:tcPr>
            <w:tcW w:w="1782" w:type="dxa"/>
            <w:tcBorders>
              <w:top w:val="nil"/>
              <w:left w:val="nil"/>
              <w:bottom w:val="single" w:color="auto" w:sz="4" w:space="0"/>
              <w:right w:val="single" w:color="auto" w:sz="4" w:space="0"/>
            </w:tcBorders>
            <w:noWrap/>
            <w:vAlign w:val="center"/>
          </w:tcPr>
          <w:p>
            <w:pPr>
              <w:widowControl/>
              <w:jc w:val="right"/>
              <w:textAlignment w:val="auto"/>
              <w:rPr>
                <w:rFonts w:hint="eastAsia" w:ascii="Arial" w:hAnsi="Arial" w:eastAsia="Times New Roman" w:cs="Arial"/>
                <w:color w:val="000000"/>
                <w:kern w:val="0"/>
                <w:sz w:val="20"/>
                <w:szCs w:val="21"/>
              </w:rPr>
            </w:pPr>
            <w:r>
              <w:rPr>
                <w:rFonts w:hint="eastAsia" w:ascii="Arial" w:hAnsi="Arial" w:eastAsia="Times New Roman" w:cs="Arial"/>
                <w:color w:val="000000"/>
                <w:kern w:val="0"/>
                <w:sz w:val="20"/>
                <w:szCs w:val="21"/>
              </w:rPr>
              <w:t>2.08%</w:t>
            </w:r>
          </w:p>
        </w:tc>
      </w:tr>
    </w:tbl>
    <w:p>
      <w:pPr>
        <w:spacing w:line="400" w:lineRule="exact"/>
        <w:ind w:firstLine="205" w:firstLineChars="98"/>
        <w:jc w:val="left"/>
        <w:rPr>
          <w:rFonts w:ascii="仿宋_GB2312" w:eastAsia="仿宋_GB2312"/>
          <w:sz w:val="28"/>
          <w:szCs w:val="28"/>
        </w:rPr>
      </w:pPr>
      <w:r>
        <w:rPr>
          <w:rFonts w:hint="eastAsia" w:ascii="楷体" w:hAnsi="楷体" w:eastAsia="楷体"/>
          <w:color w:val="000000"/>
          <w:szCs w:val="21"/>
        </w:rPr>
        <w:t>注：尾差为四舍五入原因造成。</w:t>
      </w:r>
    </w:p>
    <w:p>
      <w:pPr>
        <w:spacing w:line="460" w:lineRule="exact"/>
        <w:ind w:firstLine="560" w:firstLineChars="200"/>
        <w:rPr>
          <w:rFonts w:ascii="仿宋_GB2312" w:hAnsi="Calibri" w:eastAsia="仿宋_GB2312"/>
          <w:sz w:val="28"/>
          <w:szCs w:val="28"/>
        </w:rPr>
      </w:pPr>
      <w:r>
        <w:rPr>
          <w:rFonts w:hint="eastAsia" w:ascii="仿宋_GB2312" w:hAnsi="Calibri" w:eastAsia="仿宋_GB2312"/>
          <w:sz w:val="28"/>
          <w:szCs w:val="28"/>
        </w:rPr>
        <w:t>按照财政部《企业会计准则第22号——金融工具确认和计量》（财会〔2017〕7号）要求，本集团自2019年1月1日起实施新金融工具准则。建立预期信用损失模型，充分评估贷款及垫款的信用风险状况，按照新准则要求划分为三个阶段，计提相应预期信用损失。</w:t>
      </w:r>
    </w:p>
    <w:p>
      <w:pPr>
        <w:spacing w:line="460" w:lineRule="exact"/>
        <w:ind w:firstLine="560" w:firstLineChars="200"/>
        <w:rPr>
          <w:rFonts w:ascii="仿宋_GB2312" w:hAnsi="Calibri" w:eastAsia="仿宋_GB2312"/>
          <w:sz w:val="28"/>
          <w:szCs w:val="28"/>
        </w:rPr>
      </w:pPr>
      <w:r>
        <w:rPr>
          <w:rFonts w:hint="eastAsia" w:ascii="仿宋_GB2312" w:eastAsia="仿宋_GB2312"/>
          <w:sz w:val="28"/>
          <w:szCs w:val="28"/>
        </w:rPr>
        <w:t>本集团坚持审慎原则，持续加大不良处置化解力度，应核尽核，足额计提贷款和垫款减值准备。2022年</w:t>
      </w:r>
      <w:r>
        <w:rPr>
          <w:rFonts w:ascii="仿宋_GB2312" w:eastAsia="仿宋_GB2312"/>
          <w:sz w:val="28"/>
          <w:szCs w:val="28"/>
        </w:rPr>
        <w:t>6</w:t>
      </w:r>
      <w:r>
        <w:rPr>
          <w:rFonts w:hint="eastAsia" w:ascii="仿宋_GB2312" w:eastAsia="仿宋_GB2312"/>
          <w:sz w:val="28"/>
          <w:szCs w:val="28"/>
        </w:rPr>
        <w:t>月</w:t>
      </w:r>
      <w:r>
        <w:rPr>
          <w:rFonts w:ascii="仿宋_GB2312" w:eastAsia="仿宋_GB2312"/>
          <w:sz w:val="28"/>
          <w:szCs w:val="28"/>
        </w:rPr>
        <w:t>30</w:t>
      </w:r>
      <w:r>
        <w:rPr>
          <w:rFonts w:hint="eastAsia" w:ascii="仿宋_GB2312" w:eastAsia="仿宋_GB2312"/>
          <w:sz w:val="28"/>
          <w:szCs w:val="28"/>
        </w:rPr>
        <w:t>日，贷款和垫款减值准备余额为481.69亿元，较2022年期初余额增加21.12亿元</w:t>
      </w:r>
      <w:r>
        <w:rPr>
          <w:rFonts w:hint="eastAsia" w:ascii="仿宋_GB2312" w:hAnsi="Calibri" w:eastAsia="仿宋_GB2312"/>
          <w:sz w:val="28"/>
          <w:szCs w:val="28"/>
        </w:rPr>
        <w:t>。</w:t>
      </w:r>
    </w:p>
    <w:p>
      <w:pPr>
        <w:pStyle w:val="3"/>
      </w:pPr>
      <w:bookmarkStart w:id="8" w:name="_Toc44399891"/>
      <w:r>
        <w:rPr>
          <w:rFonts w:hint="eastAsia"/>
        </w:rPr>
        <w:t>4、交易对手信用风险</w:t>
      </w:r>
      <w:bookmarkEnd w:id="8"/>
    </w:p>
    <w:p>
      <w:pPr>
        <w:spacing w:line="460" w:lineRule="exact"/>
        <w:ind w:firstLine="560" w:firstLineChars="200"/>
        <w:rPr>
          <w:rFonts w:ascii="仿宋_GB2312" w:eastAsia="仿宋_GB2312"/>
          <w:sz w:val="28"/>
          <w:szCs w:val="28"/>
        </w:rPr>
      </w:pPr>
      <w:r>
        <w:rPr>
          <w:rFonts w:hint="eastAsia" w:ascii="仿宋_GB2312" w:eastAsia="仿宋_GB2312"/>
          <w:sz w:val="28"/>
          <w:szCs w:val="28"/>
        </w:rPr>
        <w:t>2022年，本集团根据监管要求采用新标准法（SACCR）计量交易对手信用风险资本。</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2022年6月30日</w:t>
      </w:r>
      <w:r>
        <w:rPr>
          <w:rFonts w:ascii="仿宋_GB2312" w:eastAsia="仿宋_GB2312"/>
          <w:sz w:val="28"/>
          <w:szCs w:val="28"/>
        </w:rPr>
        <w:t>，本集团</w:t>
      </w:r>
      <w:r>
        <w:rPr>
          <w:rFonts w:hint="eastAsia" w:ascii="仿宋_GB2312" w:eastAsia="仿宋_GB2312"/>
          <w:sz w:val="28"/>
          <w:szCs w:val="28"/>
        </w:rPr>
        <w:t>场外衍生工具交易对手信用风险加权资产如下表</w:t>
      </w:r>
      <w:r>
        <w:rPr>
          <w:rFonts w:ascii="仿宋_GB2312" w:eastAsia="仿宋_GB2312"/>
          <w:sz w:val="28"/>
          <w:szCs w:val="28"/>
        </w:rPr>
        <w:t>所示：</w:t>
      </w:r>
    </w:p>
    <w:p>
      <w:pPr>
        <w:pStyle w:val="10"/>
        <w:ind w:firstLine="400"/>
        <w:jc w:val="right"/>
      </w:pPr>
      <w:r>
        <w:rPr>
          <w:rFonts w:hint="eastAsia"/>
        </w:rPr>
        <w:t>单位：百万元人民币</w:t>
      </w:r>
    </w:p>
    <w:tbl>
      <w:tblPr>
        <w:tblStyle w:val="6"/>
        <w:tblW w:w="8500" w:type="dxa"/>
        <w:jc w:val="center"/>
        <w:tblLayout w:type="autofit"/>
        <w:tblCellMar>
          <w:top w:w="0" w:type="dxa"/>
          <w:left w:w="108" w:type="dxa"/>
          <w:bottom w:w="0" w:type="dxa"/>
          <w:right w:w="108" w:type="dxa"/>
        </w:tblCellMar>
      </w:tblPr>
      <w:tblGrid>
        <w:gridCol w:w="5807"/>
        <w:gridCol w:w="2693"/>
      </w:tblGrid>
      <w:tr>
        <w:tblPrEx>
          <w:tblCellMar>
            <w:top w:w="0" w:type="dxa"/>
            <w:left w:w="108" w:type="dxa"/>
            <w:bottom w:w="0" w:type="dxa"/>
            <w:right w:w="108" w:type="dxa"/>
          </w:tblCellMar>
        </w:tblPrEx>
        <w:trPr>
          <w:trHeight w:val="454" w:hRule="atLeast"/>
          <w:jc w:val="center"/>
        </w:trPr>
        <w:tc>
          <w:tcPr>
            <w:tcW w:w="580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项目</w:t>
            </w:r>
          </w:p>
        </w:tc>
        <w:tc>
          <w:tcPr>
            <w:tcW w:w="2693"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color w:val="000000"/>
                <w:kern w:val="0"/>
                <w:sz w:val="20"/>
                <w:szCs w:val="20"/>
              </w:rPr>
            </w:pPr>
            <w:r>
              <w:rPr>
                <w:rFonts w:ascii="宋体" w:hAnsi="宋体" w:cs="宋体"/>
                <w:b/>
                <w:color w:val="000000"/>
                <w:kern w:val="0"/>
                <w:sz w:val="20"/>
                <w:szCs w:val="20"/>
              </w:rPr>
              <w:t>20</w:t>
            </w:r>
            <w:r>
              <w:rPr>
                <w:rFonts w:hint="eastAsia" w:ascii="宋体" w:hAnsi="宋体" w:cs="宋体"/>
                <w:b/>
                <w:color w:val="000000"/>
                <w:kern w:val="0"/>
                <w:sz w:val="20"/>
                <w:szCs w:val="20"/>
              </w:rPr>
              <w:t>22</w:t>
            </w:r>
            <w:r>
              <w:rPr>
                <w:rFonts w:ascii="宋体" w:hAnsi="宋体" w:cs="宋体"/>
                <w:b/>
                <w:color w:val="000000"/>
                <w:kern w:val="0"/>
                <w:sz w:val="20"/>
                <w:szCs w:val="20"/>
              </w:rPr>
              <w:t>年</w:t>
            </w:r>
            <w:r>
              <w:rPr>
                <w:rFonts w:hint="eastAsia" w:ascii="宋体" w:hAnsi="宋体" w:cs="宋体"/>
                <w:b/>
                <w:color w:val="000000"/>
                <w:kern w:val="0"/>
                <w:sz w:val="20"/>
                <w:szCs w:val="20"/>
              </w:rPr>
              <w:t>6</w:t>
            </w:r>
            <w:r>
              <w:rPr>
                <w:rFonts w:ascii="宋体" w:hAnsi="宋体" w:cs="宋体"/>
                <w:b/>
                <w:color w:val="000000"/>
                <w:kern w:val="0"/>
                <w:sz w:val="20"/>
                <w:szCs w:val="20"/>
              </w:rPr>
              <w:t>月3</w:t>
            </w:r>
            <w:r>
              <w:rPr>
                <w:rFonts w:hint="eastAsia" w:ascii="宋体" w:hAnsi="宋体" w:cs="宋体"/>
                <w:b/>
                <w:color w:val="000000"/>
                <w:kern w:val="0"/>
                <w:sz w:val="20"/>
                <w:szCs w:val="20"/>
              </w:rPr>
              <w:t>0</w:t>
            </w:r>
            <w:r>
              <w:rPr>
                <w:rFonts w:ascii="宋体" w:hAnsi="宋体" w:cs="宋体"/>
                <w:b/>
                <w:color w:val="000000"/>
                <w:kern w:val="0"/>
                <w:sz w:val="20"/>
                <w:szCs w:val="20"/>
              </w:rPr>
              <w:t>日</w:t>
            </w:r>
          </w:p>
        </w:tc>
      </w:tr>
      <w:tr>
        <w:tblPrEx>
          <w:tblCellMar>
            <w:top w:w="0" w:type="dxa"/>
            <w:left w:w="108" w:type="dxa"/>
            <w:bottom w:w="0" w:type="dxa"/>
            <w:right w:w="108" w:type="dxa"/>
          </w:tblCellMar>
        </w:tblPrEx>
        <w:trPr>
          <w:trHeight w:val="454" w:hRule="atLeast"/>
          <w:jc w:val="center"/>
        </w:trPr>
        <w:tc>
          <w:tcPr>
            <w:tcW w:w="580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1.</w:t>
            </w:r>
            <w:r>
              <w:rPr>
                <w:rFonts w:hint="eastAsia" w:ascii="宋体" w:hAnsi="宋体" w:cs="宋体"/>
                <w:color w:val="000000"/>
                <w:kern w:val="0"/>
                <w:sz w:val="20"/>
                <w:szCs w:val="20"/>
              </w:rPr>
              <w:t>权重法下衍生金融工具交易对手信用风险</w:t>
            </w:r>
          </w:p>
        </w:tc>
        <w:tc>
          <w:tcPr>
            <w:tcW w:w="2693" w:type="dxa"/>
            <w:tcBorders>
              <w:top w:val="single" w:color="auto" w:sz="4" w:space="0"/>
              <w:left w:val="single" w:color="auto" w:sz="4" w:space="0"/>
              <w:bottom w:val="single" w:color="auto" w:sz="4" w:space="0"/>
              <w:right w:val="single" w:color="auto" w:sz="4" w:space="0"/>
            </w:tcBorders>
            <w:noWrap w:val="0"/>
            <w:vAlign w:val="center"/>
          </w:tcPr>
          <w:p>
            <w:pPr>
              <w:widowControl/>
              <w:jc w:val="right"/>
              <w:textAlignment w:val="center"/>
              <w:rPr>
                <w:rFonts w:ascii="Arial" w:hAnsi="Arial" w:cs="Arial"/>
                <w:color w:val="000000"/>
                <w:kern w:val="0"/>
                <w:sz w:val="20"/>
                <w:szCs w:val="20"/>
              </w:rPr>
            </w:pPr>
            <w:r>
              <w:rPr>
                <w:rFonts w:ascii="Arial" w:hAnsi="Arial" w:cs="Arial"/>
                <w:color w:val="000000"/>
                <w:kern w:val="0"/>
                <w:sz w:val="20"/>
                <w:szCs w:val="20"/>
              </w:rPr>
              <w:t>3,286</w:t>
            </w:r>
          </w:p>
        </w:tc>
      </w:tr>
      <w:tr>
        <w:tblPrEx>
          <w:tblCellMar>
            <w:top w:w="0" w:type="dxa"/>
            <w:left w:w="108" w:type="dxa"/>
            <w:bottom w:w="0" w:type="dxa"/>
            <w:right w:w="108" w:type="dxa"/>
          </w:tblCellMar>
        </w:tblPrEx>
        <w:trPr>
          <w:trHeight w:val="454" w:hRule="atLeast"/>
          <w:jc w:val="center"/>
        </w:trPr>
        <w:tc>
          <w:tcPr>
            <w:tcW w:w="5807"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1.1</w:t>
            </w:r>
            <w:r>
              <w:rPr>
                <w:rFonts w:hint="eastAsia" w:ascii="宋体" w:hAnsi="宋体" w:cs="宋体"/>
                <w:color w:val="000000"/>
                <w:kern w:val="0"/>
                <w:sz w:val="20"/>
                <w:szCs w:val="20"/>
              </w:rPr>
              <w:t>违约风险加权资产（权重法）</w:t>
            </w:r>
          </w:p>
        </w:tc>
        <w:tc>
          <w:tcPr>
            <w:tcW w:w="2693" w:type="dxa"/>
            <w:tcBorders>
              <w:top w:val="single" w:color="auto" w:sz="4" w:space="0"/>
              <w:left w:val="nil"/>
              <w:bottom w:val="single" w:color="auto" w:sz="4" w:space="0"/>
              <w:right w:val="single" w:color="auto" w:sz="4" w:space="0"/>
            </w:tcBorders>
            <w:noWrap w:val="0"/>
            <w:vAlign w:val="center"/>
          </w:tcPr>
          <w:p>
            <w:pPr>
              <w:widowControl/>
              <w:jc w:val="right"/>
              <w:textAlignment w:val="center"/>
              <w:rPr>
                <w:rFonts w:ascii="Arial" w:hAnsi="Arial" w:cs="Arial"/>
                <w:color w:val="000000"/>
                <w:kern w:val="0"/>
                <w:sz w:val="20"/>
                <w:szCs w:val="20"/>
              </w:rPr>
            </w:pPr>
            <w:r>
              <w:rPr>
                <w:rFonts w:ascii="Arial" w:hAnsi="Arial" w:cs="Arial"/>
                <w:color w:val="000000"/>
                <w:kern w:val="0"/>
                <w:sz w:val="20"/>
                <w:szCs w:val="20"/>
              </w:rPr>
              <w:t>2,136</w:t>
            </w:r>
          </w:p>
        </w:tc>
      </w:tr>
      <w:tr>
        <w:tblPrEx>
          <w:tblCellMar>
            <w:top w:w="0" w:type="dxa"/>
            <w:left w:w="108" w:type="dxa"/>
            <w:bottom w:w="0" w:type="dxa"/>
            <w:right w:w="108" w:type="dxa"/>
          </w:tblCellMar>
        </w:tblPrEx>
        <w:trPr>
          <w:trHeight w:val="454" w:hRule="atLeast"/>
          <w:jc w:val="center"/>
        </w:trPr>
        <w:tc>
          <w:tcPr>
            <w:tcW w:w="580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1.2</w:t>
            </w:r>
            <w:r>
              <w:rPr>
                <w:rFonts w:hint="eastAsia" w:ascii="宋体" w:hAnsi="宋体" w:cs="宋体"/>
                <w:color w:val="000000"/>
                <w:kern w:val="0"/>
                <w:sz w:val="20"/>
                <w:szCs w:val="20"/>
              </w:rPr>
              <w:t>信用估值调整风险加权资产（权重法）</w:t>
            </w:r>
          </w:p>
        </w:tc>
        <w:tc>
          <w:tcPr>
            <w:tcW w:w="2693" w:type="dxa"/>
            <w:tcBorders>
              <w:top w:val="nil"/>
              <w:left w:val="nil"/>
              <w:bottom w:val="single" w:color="auto" w:sz="4" w:space="0"/>
              <w:right w:val="single" w:color="auto" w:sz="4" w:space="0"/>
            </w:tcBorders>
            <w:noWrap w:val="0"/>
            <w:vAlign w:val="center"/>
          </w:tcPr>
          <w:p>
            <w:pPr>
              <w:widowControl/>
              <w:jc w:val="right"/>
              <w:textAlignment w:val="center"/>
              <w:rPr>
                <w:rFonts w:ascii="Arial" w:hAnsi="Arial" w:cs="Arial"/>
                <w:color w:val="000000"/>
                <w:kern w:val="0"/>
                <w:sz w:val="20"/>
                <w:szCs w:val="20"/>
              </w:rPr>
            </w:pPr>
            <w:r>
              <w:rPr>
                <w:rFonts w:ascii="Arial" w:hAnsi="Arial" w:cs="Arial"/>
                <w:color w:val="000000"/>
                <w:kern w:val="0"/>
                <w:sz w:val="20"/>
                <w:szCs w:val="20"/>
              </w:rPr>
              <w:t>1,150</w:t>
            </w:r>
          </w:p>
        </w:tc>
      </w:tr>
      <w:tr>
        <w:tblPrEx>
          <w:tblCellMar>
            <w:top w:w="0" w:type="dxa"/>
            <w:left w:w="108" w:type="dxa"/>
            <w:bottom w:w="0" w:type="dxa"/>
            <w:right w:w="108" w:type="dxa"/>
          </w:tblCellMar>
        </w:tblPrEx>
        <w:trPr>
          <w:trHeight w:val="454" w:hRule="atLeast"/>
          <w:jc w:val="center"/>
        </w:trPr>
        <w:tc>
          <w:tcPr>
            <w:tcW w:w="580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2.</w:t>
            </w:r>
            <w:r>
              <w:rPr>
                <w:rFonts w:hint="eastAsia" w:ascii="宋体" w:hAnsi="宋体" w:cs="宋体"/>
                <w:color w:val="000000"/>
                <w:kern w:val="0"/>
                <w:sz w:val="20"/>
                <w:szCs w:val="20"/>
              </w:rPr>
              <w:t>证券融资交易对手信用风险（权重法）</w:t>
            </w:r>
          </w:p>
        </w:tc>
        <w:tc>
          <w:tcPr>
            <w:tcW w:w="2693" w:type="dxa"/>
            <w:tcBorders>
              <w:top w:val="nil"/>
              <w:left w:val="nil"/>
              <w:bottom w:val="single" w:color="auto" w:sz="4" w:space="0"/>
              <w:right w:val="single" w:color="auto" w:sz="4" w:space="0"/>
            </w:tcBorders>
            <w:noWrap w:val="0"/>
            <w:vAlign w:val="center"/>
          </w:tcPr>
          <w:p>
            <w:pPr>
              <w:widowControl/>
              <w:jc w:val="right"/>
              <w:textAlignment w:val="center"/>
              <w:rPr>
                <w:rFonts w:ascii="Arial" w:hAnsi="Arial" w:cs="Arial"/>
                <w:color w:val="000000"/>
                <w:kern w:val="0"/>
                <w:sz w:val="20"/>
                <w:szCs w:val="20"/>
              </w:rPr>
            </w:pPr>
            <w:r>
              <w:rPr>
                <w:rFonts w:ascii="Arial" w:hAnsi="Arial" w:cs="Arial"/>
                <w:color w:val="000000"/>
                <w:kern w:val="0"/>
                <w:sz w:val="20"/>
                <w:szCs w:val="20"/>
              </w:rPr>
              <w:t>57</w:t>
            </w:r>
          </w:p>
        </w:tc>
      </w:tr>
      <w:tr>
        <w:tblPrEx>
          <w:tblCellMar>
            <w:top w:w="0" w:type="dxa"/>
            <w:left w:w="108" w:type="dxa"/>
            <w:bottom w:w="0" w:type="dxa"/>
            <w:right w:w="108" w:type="dxa"/>
          </w:tblCellMar>
        </w:tblPrEx>
        <w:trPr>
          <w:trHeight w:val="454" w:hRule="atLeast"/>
          <w:jc w:val="center"/>
        </w:trPr>
        <w:tc>
          <w:tcPr>
            <w:tcW w:w="580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ascii="宋体" w:hAnsi="宋体" w:cs="宋体"/>
                <w:color w:val="000000"/>
                <w:kern w:val="0"/>
                <w:sz w:val="20"/>
                <w:szCs w:val="20"/>
              </w:rPr>
              <w:t>3.</w:t>
            </w:r>
            <w:r>
              <w:rPr>
                <w:rFonts w:hint="eastAsia" w:ascii="宋体" w:hAnsi="宋体" w:cs="宋体"/>
                <w:color w:val="000000"/>
                <w:kern w:val="0"/>
                <w:sz w:val="20"/>
                <w:szCs w:val="20"/>
              </w:rPr>
              <w:t>与中央交易对手交易形成的信用风险</w:t>
            </w:r>
          </w:p>
        </w:tc>
        <w:tc>
          <w:tcPr>
            <w:tcW w:w="2693" w:type="dxa"/>
            <w:tcBorders>
              <w:top w:val="nil"/>
              <w:left w:val="nil"/>
              <w:bottom w:val="single" w:color="auto" w:sz="4" w:space="0"/>
              <w:right w:val="single" w:color="auto" w:sz="4" w:space="0"/>
            </w:tcBorders>
            <w:noWrap w:val="0"/>
            <w:vAlign w:val="center"/>
          </w:tcPr>
          <w:p>
            <w:pPr>
              <w:widowControl/>
              <w:jc w:val="right"/>
              <w:textAlignment w:val="center"/>
              <w:rPr>
                <w:rFonts w:ascii="Arial" w:hAnsi="Arial" w:cs="Arial"/>
                <w:color w:val="000000"/>
                <w:kern w:val="0"/>
                <w:sz w:val="20"/>
                <w:szCs w:val="20"/>
              </w:rPr>
            </w:pPr>
            <w:r>
              <w:rPr>
                <w:rFonts w:ascii="Arial" w:hAnsi="Arial" w:cs="Arial"/>
                <w:color w:val="000000"/>
                <w:kern w:val="0"/>
                <w:sz w:val="20"/>
                <w:szCs w:val="20"/>
              </w:rPr>
              <w:t>535</w:t>
            </w:r>
          </w:p>
        </w:tc>
      </w:tr>
      <w:tr>
        <w:tblPrEx>
          <w:tblCellMar>
            <w:top w:w="0" w:type="dxa"/>
            <w:left w:w="108" w:type="dxa"/>
            <w:bottom w:w="0" w:type="dxa"/>
            <w:right w:w="108" w:type="dxa"/>
          </w:tblCellMar>
        </w:tblPrEx>
        <w:trPr>
          <w:trHeight w:val="454" w:hRule="atLeast"/>
          <w:jc w:val="center"/>
        </w:trPr>
        <w:tc>
          <w:tcPr>
            <w:tcW w:w="5807"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4.合计</w:t>
            </w:r>
          </w:p>
        </w:tc>
        <w:tc>
          <w:tcPr>
            <w:tcW w:w="2693" w:type="dxa"/>
            <w:tcBorders>
              <w:top w:val="nil"/>
              <w:left w:val="nil"/>
              <w:bottom w:val="single" w:color="auto" w:sz="4" w:space="0"/>
              <w:right w:val="single" w:color="auto" w:sz="4" w:space="0"/>
            </w:tcBorders>
            <w:noWrap w:val="0"/>
            <w:vAlign w:val="center"/>
          </w:tcPr>
          <w:p>
            <w:pPr>
              <w:widowControl/>
              <w:jc w:val="right"/>
              <w:textAlignment w:val="center"/>
              <w:rPr>
                <w:rFonts w:ascii="Arial" w:hAnsi="Arial" w:cs="Arial"/>
                <w:color w:val="000000"/>
                <w:kern w:val="0"/>
                <w:sz w:val="20"/>
                <w:szCs w:val="20"/>
              </w:rPr>
            </w:pPr>
            <w:r>
              <w:rPr>
                <w:rFonts w:ascii="Arial" w:hAnsi="Arial" w:cs="Arial"/>
                <w:color w:val="000000"/>
                <w:kern w:val="0"/>
                <w:sz w:val="20"/>
                <w:szCs w:val="20"/>
              </w:rPr>
              <w:t>3,879</w:t>
            </w:r>
          </w:p>
        </w:tc>
      </w:tr>
    </w:tbl>
    <w:p>
      <w:pPr>
        <w:pStyle w:val="3"/>
      </w:pPr>
      <w:bookmarkStart w:id="9" w:name="_Toc44399892"/>
      <w:r>
        <w:rPr>
          <w:rFonts w:hint="eastAsia"/>
        </w:rPr>
        <w:t>5、资产证券化风险暴露余额</w:t>
      </w:r>
      <w:bookmarkEnd w:id="9"/>
      <w:r>
        <w:rPr>
          <w:rFonts w:hint="eastAsia"/>
        </w:rPr>
        <w:t xml:space="preserve"> </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资产证券化业务风险暴露采用标准法计量，风险权重依据合格外部评级机构的信用评级以及资产证券化类别确定。</w:t>
      </w:r>
    </w:p>
    <w:p>
      <w:pPr>
        <w:spacing w:line="460" w:lineRule="exact"/>
        <w:ind w:firstLine="560" w:firstLineChars="200"/>
        <w:rPr>
          <w:rFonts w:ascii="仿宋_GB2312" w:eastAsia="仿宋_GB2312"/>
          <w:sz w:val="28"/>
          <w:szCs w:val="28"/>
        </w:rPr>
      </w:pPr>
      <w:r>
        <w:rPr>
          <w:rFonts w:ascii="仿宋_GB2312" w:eastAsia="仿宋_GB2312"/>
          <w:sz w:val="28"/>
          <w:szCs w:val="28"/>
        </w:rPr>
        <w:t>20</w:t>
      </w:r>
      <w:r>
        <w:rPr>
          <w:rFonts w:hint="eastAsia" w:ascii="仿宋_GB2312" w:eastAsia="仿宋_GB2312"/>
          <w:sz w:val="28"/>
          <w:szCs w:val="28"/>
        </w:rPr>
        <w:t>22</w:t>
      </w:r>
      <w:r>
        <w:rPr>
          <w:rFonts w:ascii="仿宋_GB2312" w:eastAsia="仿宋_GB2312"/>
          <w:sz w:val="28"/>
          <w:szCs w:val="28"/>
        </w:rPr>
        <w:t>年</w:t>
      </w:r>
      <w:r>
        <w:rPr>
          <w:rFonts w:hint="eastAsia" w:ascii="仿宋_GB2312" w:eastAsia="仿宋_GB2312"/>
          <w:sz w:val="28"/>
          <w:szCs w:val="28"/>
        </w:rPr>
        <w:t>6月30日</w:t>
      </w:r>
      <w:r>
        <w:rPr>
          <w:rFonts w:ascii="仿宋_GB2312" w:eastAsia="仿宋_GB2312"/>
          <w:sz w:val="28"/>
          <w:szCs w:val="28"/>
        </w:rPr>
        <w:t>，</w:t>
      </w:r>
      <w:r>
        <w:rPr>
          <w:rFonts w:hint="eastAsia" w:ascii="仿宋_GB2312" w:eastAsia="仿宋_GB2312"/>
          <w:sz w:val="28"/>
          <w:szCs w:val="28"/>
        </w:rPr>
        <w:t>本集团资产证券化风险加权资产余额为</w:t>
      </w:r>
      <w:r>
        <w:rPr>
          <w:rFonts w:hint="eastAsia" w:ascii="仿宋_GB2312" w:hAnsi="Calibri" w:eastAsia="仿宋_GB2312" w:cs="Calibri"/>
          <w:sz w:val="28"/>
          <w:szCs w:val="28"/>
        </w:rPr>
        <w:t>32.34</w:t>
      </w:r>
      <w:r>
        <w:rPr>
          <w:rFonts w:ascii="仿宋_GB2312" w:eastAsia="仿宋_GB2312"/>
          <w:sz w:val="28"/>
          <w:szCs w:val="28"/>
        </w:rPr>
        <w:t>亿元，资产证券化风险暴露具体情况如下表所示：</w:t>
      </w:r>
    </w:p>
    <w:p>
      <w:pPr>
        <w:pStyle w:val="10"/>
        <w:ind w:firstLine="400"/>
        <w:jc w:val="right"/>
      </w:pPr>
      <w:r>
        <w:rPr>
          <w:rFonts w:hint="eastAsia"/>
        </w:rPr>
        <w:t>单位：百万元人民币</w:t>
      </w:r>
    </w:p>
    <w:tbl>
      <w:tblPr>
        <w:tblStyle w:val="6"/>
        <w:tblW w:w="5000" w:type="pct"/>
        <w:tblInd w:w="0" w:type="dxa"/>
        <w:tblLayout w:type="autofit"/>
        <w:tblCellMar>
          <w:top w:w="0" w:type="dxa"/>
          <w:left w:w="108" w:type="dxa"/>
          <w:bottom w:w="0" w:type="dxa"/>
          <w:right w:w="108" w:type="dxa"/>
        </w:tblCellMar>
      </w:tblPr>
      <w:tblGrid>
        <w:gridCol w:w="5326"/>
        <w:gridCol w:w="3848"/>
      </w:tblGrid>
      <w:tr>
        <w:tblPrEx>
          <w:tblCellMar>
            <w:top w:w="0" w:type="dxa"/>
            <w:left w:w="108" w:type="dxa"/>
            <w:bottom w:w="0" w:type="dxa"/>
            <w:right w:w="108" w:type="dxa"/>
          </w:tblCellMar>
        </w:tblPrEx>
        <w:trPr>
          <w:trHeight w:val="454" w:hRule="atLeast"/>
        </w:trPr>
        <w:tc>
          <w:tcPr>
            <w:tcW w:w="290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color w:val="000000"/>
                <w:kern w:val="0"/>
                <w:sz w:val="20"/>
                <w:szCs w:val="20"/>
              </w:rPr>
            </w:pPr>
            <w:r>
              <w:rPr>
                <w:rFonts w:hint="eastAsia" w:ascii="宋体" w:hAnsi="宋体" w:cs="宋体"/>
                <w:b/>
                <w:color w:val="000000"/>
                <w:kern w:val="0"/>
                <w:sz w:val="20"/>
                <w:szCs w:val="20"/>
              </w:rPr>
              <w:t>风险暴露类型</w:t>
            </w:r>
          </w:p>
        </w:tc>
        <w:tc>
          <w:tcPr>
            <w:tcW w:w="3848" w:type="dxa"/>
            <w:tcBorders>
              <w:top w:val="single" w:color="auto" w:sz="4" w:space="0"/>
              <w:left w:val="nil"/>
              <w:bottom w:val="single" w:color="auto" w:sz="4" w:space="0"/>
              <w:right w:val="single" w:color="auto" w:sz="4" w:space="0"/>
            </w:tcBorders>
            <w:noWrap/>
            <w:vAlign w:val="center"/>
          </w:tcPr>
          <w:p>
            <w:pPr>
              <w:widowControl/>
              <w:jc w:val="right"/>
              <w:rPr>
                <w:rFonts w:ascii="宋体" w:hAnsi="宋体" w:cs="宋体"/>
                <w:b/>
                <w:color w:val="000000"/>
                <w:kern w:val="0"/>
                <w:sz w:val="20"/>
                <w:szCs w:val="20"/>
              </w:rPr>
            </w:pPr>
            <w:r>
              <w:rPr>
                <w:rFonts w:ascii="宋体" w:hAnsi="宋体" w:cs="宋体"/>
                <w:b/>
                <w:color w:val="000000"/>
                <w:kern w:val="0"/>
                <w:sz w:val="20"/>
                <w:szCs w:val="20"/>
              </w:rPr>
              <w:t>20</w:t>
            </w:r>
            <w:r>
              <w:rPr>
                <w:rFonts w:hint="eastAsia" w:ascii="宋体" w:hAnsi="宋体" w:cs="宋体"/>
                <w:b/>
                <w:color w:val="000000"/>
                <w:kern w:val="0"/>
                <w:sz w:val="20"/>
                <w:szCs w:val="20"/>
              </w:rPr>
              <w:t>22</w:t>
            </w:r>
            <w:r>
              <w:rPr>
                <w:rFonts w:ascii="宋体" w:hAnsi="宋体" w:cs="宋体"/>
                <w:b/>
                <w:color w:val="000000"/>
                <w:kern w:val="0"/>
                <w:sz w:val="20"/>
                <w:szCs w:val="20"/>
              </w:rPr>
              <w:t>年</w:t>
            </w:r>
            <w:r>
              <w:rPr>
                <w:rFonts w:hint="eastAsia" w:ascii="宋体" w:hAnsi="宋体" w:cs="宋体"/>
                <w:b/>
                <w:color w:val="000000"/>
                <w:kern w:val="0"/>
                <w:sz w:val="20"/>
                <w:szCs w:val="20"/>
              </w:rPr>
              <w:t>6</w:t>
            </w:r>
            <w:r>
              <w:rPr>
                <w:rFonts w:ascii="宋体" w:hAnsi="宋体" w:cs="宋体"/>
                <w:b/>
                <w:color w:val="000000"/>
                <w:kern w:val="0"/>
                <w:sz w:val="20"/>
                <w:szCs w:val="20"/>
              </w:rPr>
              <w:t>月3</w:t>
            </w:r>
            <w:r>
              <w:rPr>
                <w:rFonts w:hint="eastAsia" w:ascii="宋体" w:hAnsi="宋体" w:cs="宋体"/>
                <w:b/>
                <w:color w:val="000000"/>
                <w:kern w:val="0"/>
                <w:sz w:val="20"/>
                <w:szCs w:val="20"/>
              </w:rPr>
              <w:t>0</w:t>
            </w:r>
            <w:r>
              <w:rPr>
                <w:rFonts w:ascii="宋体" w:hAnsi="宋体" w:cs="宋体"/>
                <w:b/>
                <w:color w:val="000000"/>
                <w:kern w:val="0"/>
                <w:sz w:val="20"/>
                <w:szCs w:val="20"/>
              </w:rPr>
              <w:t>日</w:t>
            </w:r>
          </w:p>
        </w:tc>
      </w:tr>
      <w:tr>
        <w:tblPrEx>
          <w:tblCellMar>
            <w:top w:w="0" w:type="dxa"/>
            <w:left w:w="108" w:type="dxa"/>
            <w:bottom w:w="0" w:type="dxa"/>
            <w:right w:w="108" w:type="dxa"/>
          </w:tblCellMar>
        </w:tblPrEx>
        <w:trPr>
          <w:trHeight w:val="454" w:hRule="atLeast"/>
        </w:trPr>
        <w:tc>
          <w:tcPr>
            <w:tcW w:w="2903" w:type="pct"/>
            <w:tcBorders>
              <w:top w:val="nil"/>
              <w:left w:val="single" w:color="auto" w:sz="4" w:space="0"/>
              <w:bottom w:val="single" w:color="auto" w:sz="4" w:space="0"/>
              <w:right w:val="single" w:color="auto" w:sz="4" w:space="0"/>
            </w:tcBorders>
            <w:noWrap/>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作为投资者</w:t>
            </w:r>
          </w:p>
        </w:tc>
        <w:tc>
          <w:tcPr>
            <w:tcW w:w="3848"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sz w:val="20"/>
                <w:szCs w:val="20"/>
              </w:rPr>
              <w:t>1</w:t>
            </w:r>
            <w:r>
              <w:rPr>
                <w:rFonts w:hint="eastAsia" w:ascii="Arial" w:hAnsi="Arial" w:cs="Arial"/>
                <w:color w:val="000000"/>
                <w:sz w:val="20"/>
                <w:szCs w:val="20"/>
              </w:rPr>
              <w:t>6</w:t>
            </w:r>
            <w:r>
              <w:rPr>
                <w:rFonts w:ascii="Arial" w:hAnsi="Arial" w:cs="Arial"/>
                <w:color w:val="000000"/>
                <w:sz w:val="20"/>
                <w:szCs w:val="20"/>
              </w:rPr>
              <w:t>,</w:t>
            </w:r>
            <w:r>
              <w:rPr>
                <w:rFonts w:hint="eastAsia" w:ascii="Arial" w:hAnsi="Arial" w:cs="Arial"/>
                <w:color w:val="000000"/>
                <w:sz w:val="20"/>
                <w:szCs w:val="20"/>
              </w:rPr>
              <w:t>165</w:t>
            </w:r>
          </w:p>
        </w:tc>
      </w:tr>
      <w:tr>
        <w:tblPrEx>
          <w:tblCellMar>
            <w:top w:w="0" w:type="dxa"/>
            <w:left w:w="108" w:type="dxa"/>
            <w:bottom w:w="0" w:type="dxa"/>
            <w:right w:w="108" w:type="dxa"/>
          </w:tblCellMar>
        </w:tblPrEx>
        <w:trPr>
          <w:trHeight w:val="454" w:hRule="atLeast"/>
        </w:trPr>
        <w:tc>
          <w:tcPr>
            <w:tcW w:w="2903"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合计</w:t>
            </w:r>
          </w:p>
        </w:tc>
        <w:tc>
          <w:tcPr>
            <w:tcW w:w="3848" w:type="dxa"/>
            <w:tcBorders>
              <w:top w:val="nil"/>
              <w:left w:val="nil"/>
              <w:bottom w:val="single" w:color="auto" w:sz="4" w:space="0"/>
              <w:right w:val="single" w:color="auto" w:sz="4" w:space="0"/>
            </w:tcBorders>
            <w:noWrap/>
            <w:vAlign w:val="center"/>
          </w:tcPr>
          <w:p>
            <w:pPr>
              <w:widowControl/>
              <w:jc w:val="right"/>
              <w:rPr>
                <w:rFonts w:ascii="Arial" w:hAnsi="Arial" w:cs="Arial"/>
                <w:color w:val="000000"/>
                <w:kern w:val="0"/>
                <w:sz w:val="20"/>
                <w:szCs w:val="20"/>
              </w:rPr>
            </w:pPr>
            <w:r>
              <w:rPr>
                <w:rFonts w:ascii="Arial" w:hAnsi="Arial" w:cs="Arial"/>
                <w:color w:val="000000"/>
                <w:sz w:val="20"/>
                <w:szCs w:val="20"/>
              </w:rPr>
              <w:t>1</w:t>
            </w:r>
            <w:r>
              <w:rPr>
                <w:rFonts w:hint="eastAsia" w:ascii="Arial" w:hAnsi="Arial" w:cs="Arial"/>
                <w:color w:val="000000"/>
                <w:sz w:val="20"/>
                <w:szCs w:val="20"/>
              </w:rPr>
              <w:t>6</w:t>
            </w:r>
            <w:r>
              <w:rPr>
                <w:rFonts w:ascii="Arial" w:hAnsi="Arial" w:cs="Arial"/>
                <w:color w:val="000000"/>
                <w:sz w:val="20"/>
                <w:szCs w:val="20"/>
              </w:rPr>
              <w:t>,</w:t>
            </w:r>
            <w:r>
              <w:rPr>
                <w:rFonts w:hint="eastAsia" w:ascii="Arial" w:hAnsi="Arial" w:cs="Arial"/>
                <w:color w:val="000000"/>
                <w:sz w:val="20"/>
                <w:szCs w:val="20"/>
              </w:rPr>
              <w:t>165</w:t>
            </w:r>
          </w:p>
        </w:tc>
      </w:tr>
    </w:tbl>
    <w:p>
      <w:pPr>
        <w:pStyle w:val="2"/>
      </w:pPr>
      <w:bookmarkStart w:id="10" w:name="_Toc44399893"/>
      <w:r>
        <w:rPr>
          <w:rFonts w:hint="eastAsia"/>
        </w:rPr>
        <w:t>三、市场风险资本要求</w:t>
      </w:r>
      <w:bookmarkEnd w:id="10"/>
    </w:p>
    <w:p>
      <w:pPr>
        <w:spacing w:line="460" w:lineRule="exact"/>
        <w:ind w:firstLine="560" w:firstLineChars="200"/>
        <w:rPr>
          <w:rFonts w:ascii="仿宋_GB2312" w:eastAsia="仿宋_GB2312"/>
          <w:sz w:val="28"/>
          <w:szCs w:val="28"/>
        </w:rPr>
      </w:pPr>
      <w:r>
        <w:rPr>
          <w:rFonts w:hint="eastAsia" w:ascii="仿宋_GB2312" w:eastAsia="仿宋_GB2312"/>
          <w:sz w:val="28"/>
          <w:szCs w:val="28"/>
        </w:rPr>
        <w:t>本集团依据监管要求，采用标准法计量市场风险资本要求。本集团分别计量利率风险、汇率风险、商品风险和股票风险的资本要求，并单独计量以各类风险为基础的期权风险的资本要求。</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2022年6月30日，本集团并表范围内各类型市场风险的资本要求情况如下表所示：</w:t>
      </w:r>
    </w:p>
    <w:p>
      <w:pPr>
        <w:pStyle w:val="10"/>
        <w:ind w:firstLine="400"/>
        <w:jc w:val="right"/>
      </w:pPr>
      <w:r>
        <w:rPr>
          <w:rFonts w:hint="eastAsia"/>
        </w:rPr>
        <w:t>单位：百万元人民币</w:t>
      </w:r>
    </w:p>
    <w:tbl>
      <w:tblPr>
        <w:tblStyle w:val="6"/>
        <w:tblW w:w="5000" w:type="pct"/>
        <w:tblInd w:w="0" w:type="dxa"/>
        <w:tblLayout w:type="autofit"/>
        <w:tblCellMar>
          <w:top w:w="0" w:type="dxa"/>
          <w:left w:w="108" w:type="dxa"/>
          <w:bottom w:w="0" w:type="dxa"/>
          <w:right w:w="108" w:type="dxa"/>
        </w:tblCellMar>
      </w:tblPr>
      <w:tblGrid>
        <w:gridCol w:w="6974"/>
        <w:gridCol w:w="2200"/>
      </w:tblGrid>
      <w:tr>
        <w:tblPrEx>
          <w:tblCellMar>
            <w:top w:w="0" w:type="dxa"/>
            <w:left w:w="108" w:type="dxa"/>
            <w:bottom w:w="0" w:type="dxa"/>
            <w:right w:w="108" w:type="dxa"/>
          </w:tblCellMar>
        </w:tblPrEx>
        <w:trPr>
          <w:trHeight w:val="454" w:hRule="atLeast"/>
        </w:trPr>
        <w:tc>
          <w:tcPr>
            <w:tcW w:w="3801"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项目</w:t>
            </w:r>
          </w:p>
        </w:tc>
        <w:tc>
          <w:tcPr>
            <w:tcW w:w="1199" w:type="pct"/>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2022年6月30日</w:t>
            </w:r>
          </w:p>
        </w:tc>
      </w:tr>
      <w:tr>
        <w:tblPrEx>
          <w:tblCellMar>
            <w:top w:w="0" w:type="dxa"/>
            <w:left w:w="108" w:type="dxa"/>
            <w:bottom w:w="0" w:type="dxa"/>
            <w:right w:w="108" w:type="dxa"/>
          </w:tblCellMar>
        </w:tblPrEx>
        <w:trPr>
          <w:trHeight w:val="454" w:hRule="atLeast"/>
        </w:trPr>
        <w:tc>
          <w:tcPr>
            <w:tcW w:w="3801" w:type="pct"/>
            <w:tcBorders>
              <w:top w:val="nil"/>
              <w:left w:val="single" w:color="auto" w:sz="4" w:space="0"/>
              <w:bottom w:val="single" w:color="auto" w:sz="4" w:space="0"/>
              <w:right w:val="single" w:color="auto" w:sz="4" w:space="0"/>
            </w:tcBorders>
            <w:noWrap/>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利率风险</w:t>
            </w:r>
          </w:p>
        </w:tc>
        <w:tc>
          <w:tcPr>
            <w:tcW w:w="2200" w:type="dxa"/>
            <w:tcBorders>
              <w:top w:val="nil"/>
              <w:left w:val="nil"/>
              <w:bottom w:val="single" w:color="auto" w:sz="4" w:space="0"/>
              <w:right w:val="single" w:color="auto" w:sz="4" w:space="0"/>
            </w:tcBorders>
            <w:noWrap/>
            <w:vAlign w:val="center"/>
          </w:tcPr>
          <w:p>
            <w:pPr>
              <w:widowControl/>
              <w:jc w:val="right"/>
              <w:textAlignment w:val="center"/>
              <w:rPr>
                <w:rFonts w:ascii="Arial" w:hAnsi="Arial" w:cs="Arial"/>
                <w:color w:val="000000"/>
                <w:kern w:val="0"/>
                <w:sz w:val="20"/>
                <w:szCs w:val="20"/>
              </w:rPr>
            </w:pPr>
            <w:r>
              <w:rPr>
                <w:rFonts w:ascii="Arial" w:hAnsi="Arial" w:cs="Arial"/>
                <w:color w:val="000000"/>
                <w:kern w:val="0"/>
                <w:sz w:val="20"/>
                <w:szCs w:val="20"/>
              </w:rPr>
              <w:t>1,284</w:t>
            </w:r>
          </w:p>
        </w:tc>
      </w:tr>
      <w:tr>
        <w:tblPrEx>
          <w:tblCellMar>
            <w:top w:w="0" w:type="dxa"/>
            <w:left w:w="108" w:type="dxa"/>
            <w:bottom w:w="0" w:type="dxa"/>
            <w:right w:w="108" w:type="dxa"/>
          </w:tblCellMar>
        </w:tblPrEx>
        <w:trPr>
          <w:trHeight w:val="454" w:hRule="atLeast"/>
        </w:trPr>
        <w:tc>
          <w:tcPr>
            <w:tcW w:w="3801" w:type="pct"/>
            <w:tcBorders>
              <w:top w:val="nil"/>
              <w:left w:val="single" w:color="auto" w:sz="4" w:space="0"/>
              <w:bottom w:val="single" w:color="auto" w:sz="4" w:space="0"/>
              <w:right w:val="single" w:color="auto" w:sz="4" w:space="0"/>
            </w:tcBorders>
            <w:noWrap/>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股票风险</w:t>
            </w:r>
          </w:p>
        </w:tc>
        <w:tc>
          <w:tcPr>
            <w:tcW w:w="2200" w:type="dxa"/>
            <w:tcBorders>
              <w:top w:val="nil"/>
              <w:left w:val="nil"/>
              <w:bottom w:val="single" w:color="auto" w:sz="4" w:space="0"/>
              <w:right w:val="single" w:color="auto" w:sz="4" w:space="0"/>
            </w:tcBorders>
            <w:noWrap/>
            <w:vAlign w:val="center"/>
          </w:tcPr>
          <w:p>
            <w:pPr>
              <w:widowControl/>
              <w:jc w:val="right"/>
              <w:textAlignment w:val="center"/>
              <w:rPr>
                <w:rFonts w:ascii="Arial" w:hAnsi="Arial" w:cs="Arial"/>
                <w:color w:val="000000"/>
                <w:kern w:val="0"/>
                <w:sz w:val="20"/>
                <w:szCs w:val="20"/>
              </w:rPr>
            </w:pPr>
            <w:r>
              <w:rPr>
                <w:rFonts w:ascii="Arial" w:hAnsi="Arial" w:cs="Arial"/>
                <w:color w:val="000000"/>
                <w:kern w:val="0"/>
                <w:sz w:val="20"/>
                <w:szCs w:val="20"/>
              </w:rPr>
              <w:t>30</w:t>
            </w:r>
          </w:p>
        </w:tc>
      </w:tr>
      <w:tr>
        <w:tblPrEx>
          <w:tblCellMar>
            <w:top w:w="0" w:type="dxa"/>
            <w:left w:w="108" w:type="dxa"/>
            <w:bottom w:w="0" w:type="dxa"/>
            <w:right w:w="108" w:type="dxa"/>
          </w:tblCellMar>
        </w:tblPrEx>
        <w:trPr>
          <w:trHeight w:val="454" w:hRule="atLeast"/>
        </w:trPr>
        <w:tc>
          <w:tcPr>
            <w:tcW w:w="3801" w:type="pct"/>
            <w:tcBorders>
              <w:top w:val="nil"/>
              <w:left w:val="single" w:color="auto" w:sz="4" w:space="0"/>
              <w:bottom w:val="single" w:color="auto" w:sz="4" w:space="0"/>
              <w:right w:val="single" w:color="auto" w:sz="4" w:space="0"/>
            </w:tcBorders>
            <w:noWrap/>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外汇风险</w:t>
            </w:r>
          </w:p>
        </w:tc>
        <w:tc>
          <w:tcPr>
            <w:tcW w:w="2200" w:type="dxa"/>
            <w:tcBorders>
              <w:top w:val="nil"/>
              <w:left w:val="nil"/>
              <w:bottom w:val="single" w:color="auto" w:sz="4" w:space="0"/>
              <w:right w:val="single" w:color="auto" w:sz="4" w:space="0"/>
            </w:tcBorders>
            <w:noWrap/>
            <w:vAlign w:val="center"/>
          </w:tcPr>
          <w:p>
            <w:pPr>
              <w:widowControl/>
              <w:jc w:val="right"/>
              <w:textAlignment w:val="center"/>
              <w:rPr>
                <w:rFonts w:ascii="Arial" w:hAnsi="Arial" w:cs="Arial"/>
                <w:color w:val="000000"/>
                <w:kern w:val="0"/>
                <w:sz w:val="20"/>
                <w:szCs w:val="20"/>
              </w:rPr>
            </w:pPr>
            <w:r>
              <w:rPr>
                <w:rFonts w:ascii="Arial" w:hAnsi="Arial" w:cs="Arial"/>
                <w:color w:val="000000"/>
                <w:kern w:val="0"/>
                <w:sz w:val="20"/>
                <w:szCs w:val="20"/>
              </w:rPr>
              <w:t>96</w:t>
            </w:r>
          </w:p>
        </w:tc>
      </w:tr>
      <w:tr>
        <w:tblPrEx>
          <w:tblCellMar>
            <w:top w:w="0" w:type="dxa"/>
            <w:left w:w="108" w:type="dxa"/>
            <w:bottom w:w="0" w:type="dxa"/>
            <w:right w:w="108" w:type="dxa"/>
          </w:tblCellMar>
        </w:tblPrEx>
        <w:trPr>
          <w:trHeight w:val="454" w:hRule="atLeast"/>
        </w:trPr>
        <w:tc>
          <w:tcPr>
            <w:tcW w:w="3801" w:type="pct"/>
            <w:tcBorders>
              <w:top w:val="nil"/>
              <w:left w:val="single" w:color="auto" w:sz="4" w:space="0"/>
              <w:bottom w:val="single" w:color="auto" w:sz="4" w:space="0"/>
              <w:right w:val="single" w:color="auto" w:sz="4" w:space="0"/>
            </w:tcBorders>
            <w:noWrap/>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商品风险</w:t>
            </w:r>
          </w:p>
        </w:tc>
        <w:tc>
          <w:tcPr>
            <w:tcW w:w="2200" w:type="dxa"/>
            <w:tcBorders>
              <w:top w:val="nil"/>
              <w:left w:val="nil"/>
              <w:bottom w:val="single" w:color="auto" w:sz="4" w:space="0"/>
              <w:right w:val="single" w:color="auto" w:sz="4" w:space="0"/>
            </w:tcBorders>
            <w:noWrap/>
            <w:vAlign w:val="center"/>
          </w:tcPr>
          <w:p>
            <w:pPr>
              <w:widowControl/>
              <w:jc w:val="right"/>
              <w:textAlignment w:val="center"/>
              <w:rPr>
                <w:rFonts w:ascii="Arial" w:hAnsi="Arial" w:cs="Arial"/>
                <w:color w:val="000000"/>
                <w:kern w:val="0"/>
                <w:sz w:val="20"/>
                <w:szCs w:val="20"/>
              </w:rPr>
            </w:pPr>
            <w:r>
              <w:rPr>
                <w:rFonts w:ascii="Arial" w:hAnsi="Arial" w:cs="Arial"/>
                <w:color w:val="000000"/>
                <w:kern w:val="0"/>
                <w:sz w:val="20"/>
                <w:szCs w:val="20"/>
              </w:rPr>
              <w:t>0</w:t>
            </w:r>
          </w:p>
        </w:tc>
      </w:tr>
      <w:tr>
        <w:tblPrEx>
          <w:tblCellMar>
            <w:top w:w="0" w:type="dxa"/>
            <w:left w:w="108" w:type="dxa"/>
            <w:bottom w:w="0" w:type="dxa"/>
            <w:right w:w="108" w:type="dxa"/>
          </w:tblCellMar>
        </w:tblPrEx>
        <w:trPr>
          <w:trHeight w:val="454" w:hRule="atLeast"/>
        </w:trPr>
        <w:tc>
          <w:tcPr>
            <w:tcW w:w="3801" w:type="pct"/>
            <w:tcBorders>
              <w:top w:val="nil"/>
              <w:left w:val="single" w:color="auto" w:sz="4" w:space="0"/>
              <w:bottom w:val="single" w:color="auto" w:sz="4" w:space="0"/>
              <w:right w:val="single" w:color="auto" w:sz="4" w:space="0"/>
            </w:tcBorders>
            <w:noWrap/>
            <w:vAlign w:val="center"/>
          </w:tcPr>
          <w:p>
            <w:pPr>
              <w:widowControl/>
              <w:ind w:firstLine="200" w:firstLineChars="100"/>
              <w:jc w:val="left"/>
              <w:rPr>
                <w:rFonts w:ascii="宋体" w:hAnsi="宋体" w:cs="宋体"/>
                <w:color w:val="000000"/>
                <w:kern w:val="0"/>
                <w:sz w:val="20"/>
                <w:szCs w:val="20"/>
              </w:rPr>
            </w:pPr>
            <w:r>
              <w:rPr>
                <w:rFonts w:hint="eastAsia" w:ascii="宋体" w:hAnsi="宋体" w:cs="宋体"/>
                <w:color w:val="000000"/>
                <w:kern w:val="0"/>
                <w:sz w:val="20"/>
                <w:szCs w:val="20"/>
              </w:rPr>
              <w:t>期权风险</w:t>
            </w:r>
          </w:p>
        </w:tc>
        <w:tc>
          <w:tcPr>
            <w:tcW w:w="2200" w:type="dxa"/>
            <w:tcBorders>
              <w:top w:val="nil"/>
              <w:left w:val="nil"/>
              <w:bottom w:val="single" w:color="auto" w:sz="4" w:space="0"/>
              <w:right w:val="single" w:color="auto" w:sz="4" w:space="0"/>
            </w:tcBorders>
            <w:noWrap/>
            <w:vAlign w:val="center"/>
          </w:tcPr>
          <w:p>
            <w:pPr>
              <w:widowControl/>
              <w:jc w:val="right"/>
              <w:textAlignment w:val="center"/>
              <w:rPr>
                <w:rFonts w:ascii="Arial" w:hAnsi="Arial" w:cs="Arial"/>
                <w:color w:val="000000"/>
                <w:kern w:val="0"/>
                <w:sz w:val="20"/>
                <w:szCs w:val="20"/>
              </w:rPr>
            </w:pPr>
            <w:r>
              <w:rPr>
                <w:rFonts w:ascii="Arial" w:hAnsi="Arial" w:cs="Arial"/>
                <w:color w:val="000000"/>
                <w:kern w:val="0"/>
                <w:sz w:val="20"/>
                <w:szCs w:val="20"/>
              </w:rPr>
              <w:t>5</w:t>
            </w:r>
          </w:p>
        </w:tc>
      </w:tr>
      <w:tr>
        <w:tblPrEx>
          <w:tblCellMar>
            <w:top w:w="0" w:type="dxa"/>
            <w:left w:w="108" w:type="dxa"/>
            <w:bottom w:w="0" w:type="dxa"/>
            <w:right w:w="108" w:type="dxa"/>
          </w:tblCellMar>
        </w:tblPrEx>
        <w:trPr>
          <w:trHeight w:val="454" w:hRule="atLeast"/>
        </w:trPr>
        <w:tc>
          <w:tcPr>
            <w:tcW w:w="3801"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交易账簿资产证券化风险暴露的特定风险</w:t>
            </w:r>
          </w:p>
        </w:tc>
        <w:tc>
          <w:tcPr>
            <w:tcW w:w="2200" w:type="dxa"/>
            <w:tcBorders>
              <w:top w:val="nil"/>
              <w:left w:val="nil"/>
              <w:bottom w:val="single" w:color="auto" w:sz="4" w:space="0"/>
              <w:right w:val="single" w:color="auto" w:sz="4" w:space="0"/>
            </w:tcBorders>
            <w:noWrap/>
            <w:vAlign w:val="center"/>
          </w:tcPr>
          <w:p>
            <w:pPr>
              <w:widowControl/>
              <w:jc w:val="right"/>
              <w:textAlignment w:val="center"/>
              <w:rPr>
                <w:rFonts w:ascii="Arial" w:hAnsi="Arial" w:cs="Arial"/>
                <w:color w:val="000000"/>
                <w:kern w:val="0"/>
                <w:sz w:val="20"/>
                <w:szCs w:val="20"/>
              </w:rPr>
            </w:pPr>
            <w:r>
              <w:rPr>
                <w:rFonts w:ascii="Arial" w:hAnsi="Arial" w:cs="Arial"/>
                <w:color w:val="000000"/>
                <w:kern w:val="0"/>
                <w:sz w:val="20"/>
                <w:szCs w:val="20"/>
              </w:rPr>
              <w:t>719</w:t>
            </w:r>
          </w:p>
        </w:tc>
      </w:tr>
      <w:tr>
        <w:tblPrEx>
          <w:tblCellMar>
            <w:top w:w="0" w:type="dxa"/>
            <w:left w:w="108" w:type="dxa"/>
            <w:bottom w:w="0" w:type="dxa"/>
            <w:right w:w="108" w:type="dxa"/>
          </w:tblCellMar>
        </w:tblPrEx>
        <w:trPr>
          <w:trHeight w:val="454" w:hRule="atLeast"/>
        </w:trPr>
        <w:tc>
          <w:tcPr>
            <w:tcW w:w="3801"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市场风险资本要求总额</w:t>
            </w:r>
          </w:p>
        </w:tc>
        <w:tc>
          <w:tcPr>
            <w:tcW w:w="2200" w:type="dxa"/>
            <w:tcBorders>
              <w:top w:val="single" w:color="auto" w:sz="4" w:space="0"/>
              <w:left w:val="single" w:color="auto" w:sz="4" w:space="0"/>
              <w:bottom w:val="single" w:color="auto" w:sz="4" w:space="0"/>
              <w:right w:val="single" w:color="auto" w:sz="4" w:space="0"/>
            </w:tcBorders>
            <w:noWrap/>
            <w:vAlign w:val="center"/>
          </w:tcPr>
          <w:p>
            <w:pPr>
              <w:widowControl/>
              <w:jc w:val="right"/>
              <w:textAlignment w:val="center"/>
              <w:rPr>
                <w:rFonts w:ascii="Arial" w:hAnsi="Arial" w:cs="Arial"/>
                <w:color w:val="000000"/>
                <w:kern w:val="0"/>
                <w:sz w:val="20"/>
                <w:szCs w:val="20"/>
              </w:rPr>
            </w:pPr>
            <w:r>
              <w:rPr>
                <w:rFonts w:ascii="Arial" w:hAnsi="Arial" w:cs="Arial"/>
                <w:color w:val="000000"/>
                <w:kern w:val="0"/>
                <w:sz w:val="20"/>
                <w:szCs w:val="20"/>
              </w:rPr>
              <w:t>2,133</w:t>
            </w:r>
          </w:p>
        </w:tc>
      </w:tr>
    </w:tbl>
    <w:p>
      <w:pPr>
        <w:pStyle w:val="2"/>
      </w:pPr>
      <w:bookmarkStart w:id="11" w:name="_Toc44399894"/>
      <w:r>
        <w:rPr>
          <w:rFonts w:hint="eastAsia"/>
        </w:rPr>
        <w:t>四、操作风险情况</w:t>
      </w:r>
      <w:bookmarkEnd w:id="11"/>
      <w:r>
        <w:rPr>
          <w:rFonts w:hint="eastAsia"/>
        </w:rPr>
        <w:t xml:space="preserve"> </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本集团采用基本指标法计量操作风险加权资产。</w:t>
      </w:r>
      <w:r>
        <w:rPr>
          <w:rFonts w:ascii="仿宋_GB2312" w:eastAsia="仿宋_GB2312"/>
          <w:sz w:val="28"/>
          <w:szCs w:val="28"/>
        </w:rPr>
        <w:t>20</w:t>
      </w:r>
      <w:r>
        <w:rPr>
          <w:rFonts w:hint="eastAsia" w:ascii="仿宋_GB2312" w:eastAsia="仿宋_GB2312"/>
          <w:sz w:val="28"/>
          <w:szCs w:val="28"/>
        </w:rPr>
        <w:t>22年6月30日，本集团操作风险加权资产为979亿元，资本要求为78.35亿元。</w:t>
      </w:r>
    </w:p>
    <w:p>
      <w:pPr>
        <w:pStyle w:val="2"/>
      </w:pPr>
      <w:bookmarkStart w:id="12" w:name="_Toc44399895"/>
      <w:r>
        <w:rPr>
          <w:rFonts w:hint="eastAsia"/>
        </w:rPr>
        <w:t>五、银行账簿利率风险</w:t>
      </w:r>
      <w:bookmarkEnd w:id="12"/>
      <w:r>
        <w:rPr>
          <w:rFonts w:hint="eastAsia"/>
        </w:rPr>
        <w:t xml:space="preserve"> </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2022</w:t>
      </w:r>
      <w:r>
        <w:rPr>
          <w:rFonts w:ascii="仿宋_GB2312" w:eastAsia="仿宋_GB2312"/>
          <w:sz w:val="28"/>
          <w:szCs w:val="28"/>
        </w:rPr>
        <w:t>年</w:t>
      </w:r>
      <w:r>
        <w:rPr>
          <w:rFonts w:hint="eastAsia" w:ascii="仿宋_GB2312" w:eastAsia="仿宋_GB2312"/>
          <w:sz w:val="28"/>
          <w:szCs w:val="28"/>
        </w:rPr>
        <w:t>6月30日，</w:t>
      </w:r>
      <w:r>
        <w:rPr>
          <w:rFonts w:ascii="仿宋_GB2312" w:eastAsia="仿宋_GB2312"/>
          <w:sz w:val="28"/>
          <w:szCs w:val="28"/>
        </w:rPr>
        <w:t>本集团按主要币种划分的利率敏感性分析如下表</w:t>
      </w:r>
      <w:r>
        <w:rPr>
          <w:rFonts w:hint="eastAsia" w:ascii="仿宋_GB2312" w:eastAsia="仿宋_GB2312"/>
          <w:sz w:val="28"/>
          <w:szCs w:val="28"/>
        </w:rPr>
        <w:t>所示</w:t>
      </w:r>
      <w:r>
        <w:rPr>
          <w:rFonts w:ascii="仿宋_GB2312" w:eastAsia="仿宋_GB2312"/>
          <w:sz w:val="28"/>
          <w:szCs w:val="28"/>
        </w:rPr>
        <w:t>：</w:t>
      </w:r>
    </w:p>
    <w:p>
      <w:pPr>
        <w:pStyle w:val="10"/>
        <w:ind w:firstLine="400"/>
        <w:jc w:val="right"/>
      </w:pPr>
      <w:r>
        <w:rPr>
          <w:rFonts w:hint="eastAsia"/>
        </w:rPr>
        <w:t>单位：百万元人民币</w:t>
      </w:r>
    </w:p>
    <w:tbl>
      <w:tblPr>
        <w:tblStyle w:val="6"/>
        <w:tblW w:w="5123" w:type="pct"/>
        <w:tblInd w:w="0" w:type="dxa"/>
        <w:tblLayout w:type="autofit"/>
        <w:tblCellMar>
          <w:top w:w="0" w:type="dxa"/>
          <w:left w:w="108" w:type="dxa"/>
          <w:bottom w:w="0" w:type="dxa"/>
          <w:right w:w="108" w:type="dxa"/>
        </w:tblCellMar>
      </w:tblPr>
      <w:tblGrid>
        <w:gridCol w:w="1303"/>
        <w:gridCol w:w="2102"/>
        <w:gridCol w:w="1822"/>
        <w:gridCol w:w="2175"/>
        <w:gridCol w:w="1998"/>
      </w:tblGrid>
      <w:tr>
        <w:tblPrEx>
          <w:tblCellMar>
            <w:top w:w="0" w:type="dxa"/>
            <w:left w:w="108" w:type="dxa"/>
            <w:bottom w:w="0" w:type="dxa"/>
            <w:right w:w="108" w:type="dxa"/>
          </w:tblCellMar>
        </w:tblPrEx>
        <w:trPr>
          <w:trHeight w:val="454" w:hRule="atLeast"/>
        </w:trPr>
        <w:tc>
          <w:tcPr>
            <w:tcW w:w="693" w:type="pct"/>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币种</w:t>
            </w:r>
          </w:p>
        </w:tc>
        <w:tc>
          <w:tcPr>
            <w:tcW w:w="2087" w:type="pct"/>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上升100个基点</w:t>
            </w:r>
          </w:p>
        </w:tc>
        <w:tc>
          <w:tcPr>
            <w:tcW w:w="2220" w:type="pct"/>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下降100个基点</w:t>
            </w:r>
          </w:p>
        </w:tc>
      </w:tr>
      <w:tr>
        <w:tblPrEx>
          <w:tblCellMar>
            <w:top w:w="0" w:type="dxa"/>
            <w:left w:w="108" w:type="dxa"/>
            <w:bottom w:w="0" w:type="dxa"/>
            <w:right w:w="108" w:type="dxa"/>
          </w:tblCellMar>
        </w:tblPrEx>
        <w:trPr>
          <w:trHeight w:val="454" w:hRule="atLeast"/>
        </w:trPr>
        <w:tc>
          <w:tcPr>
            <w:tcW w:w="69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color w:val="000000"/>
                <w:kern w:val="0"/>
                <w:sz w:val="20"/>
                <w:szCs w:val="20"/>
              </w:rPr>
            </w:pPr>
          </w:p>
        </w:tc>
        <w:tc>
          <w:tcPr>
            <w:tcW w:w="1118" w:type="pct"/>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对利息净收入的影响</w:t>
            </w:r>
          </w:p>
        </w:tc>
        <w:tc>
          <w:tcPr>
            <w:tcW w:w="969" w:type="pct"/>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对权益的影响</w:t>
            </w:r>
          </w:p>
        </w:tc>
        <w:tc>
          <w:tcPr>
            <w:tcW w:w="1157" w:type="pct"/>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对利息净收入的影响</w:t>
            </w:r>
          </w:p>
        </w:tc>
        <w:tc>
          <w:tcPr>
            <w:tcW w:w="1063" w:type="pct"/>
            <w:tcBorders>
              <w:top w:val="nil"/>
              <w:left w:val="nil"/>
              <w:bottom w:val="single" w:color="auto" w:sz="4" w:space="0"/>
              <w:right w:val="single" w:color="auto" w:sz="4" w:space="0"/>
            </w:tcBorders>
            <w:noWrap w:val="0"/>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对权益的影响</w:t>
            </w:r>
          </w:p>
        </w:tc>
      </w:tr>
      <w:tr>
        <w:tblPrEx>
          <w:tblCellMar>
            <w:top w:w="0" w:type="dxa"/>
            <w:left w:w="108" w:type="dxa"/>
            <w:bottom w:w="0" w:type="dxa"/>
            <w:right w:w="108" w:type="dxa"/>
          </w:tblCellMar>
        </w:tblPrEx>
        <w:trPr>
          <w:trHeight w:val="454" w:hRule="atLeast"/>
        </w:trPr>
        <w:tc>
          <w:tcPr>
            <w:tcW w:w="693"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人民币</w:t>
            </w:r>
          </w:p>
        </w:tc>
        <w:tc>
          <w:tcPr>
            <w:tcW w:w="2102" w:type="dxa"/>
            <w:tcBorders>
              <w:top w:val="nil"/>
              <w:left w:val="nil"/>
              <w:bottom w:val="single" w:color="auto" w:sz="4" w:space="0"/>
              <w:right w:val="single" w:color="auto" w:sz="4" w:space="0"/>
            </w:tcBorders>
            <w:noWrap/>
            <w:vAlign w:val="center"/>
          </w:tcPr>
          <w:p>
            <w:pPr>
              <w:widowControl/>
              <w:jc w:val="right"/>
              <w:rPr>
                <w:rFonts w:ascii="Arial" w:hAnsi="Arial" w:cs="Arial"/>
                <w:kern w:val="0"/>
                <w:sz w:val="20"/>
                <w:szCs w:val="20"/>
              </w:rPr>
            </w:pPr>
            <w:r>
              <w:rPr>
                <w:rFonts w:ascii="Arial" w:hAnsi="Arial" w:cs="Arial"/>
                <w:kern w:val="0"/>
                <w:sz w:val="20"/>
                <w:szCs w:val="20"/>
              </w:rPr>
              <w:t xml:space="preserve">       </w:t>
            </w:r>
            <w:r>
              <w:rPr>
                <w:rFonts w:hint="eastAsia" w:ascii="Arial" w:hAnsi="Arial" w:cs="Arial"/>
                <w:kern w:val="0"/>
                <w:sz w:val="20"/>
                <w:szCs w:val="20"/>
              </w:rPr>
              <w:t>-1086</w:t>
            </w:r>
            <w:r>
              <w:rPr>
                <w:rFonts w:ascii="Arial" w:hAnsi="Arial" w:cs="Arial"/>
                <w:kern w:val="0"/>
                <w:sz w:val="20"/>
                <w:szCs w:val="20"/>
              </w:rPr>
              <w:t xml:space="preserve"> </w:t>
            </w:r>
          </w:p>
        </w:tc>
        <w:tc>
          <w:tcPr>
            <w:tcW w:w="1822" w:type="dxa"/>
            <w:tcBorders>
              <w:top w:val="nil"/>
              <w:left w:val="nil"/>
              <w:bottom w:val="single" w:color="auto" w:sz="4" w:space="0"/>
              <w:right w:val="single" w:color="auto" w:sz="4" w:space="0"/>
            </w:tcBorders>
            <w:noWrap/>
            <w:vAlign w:val="center"/>
          </w:tcPr>
          <w:p>
            <w:pPr>
              <w:widowControl/>
              <w:jc w:val="right"/>
              <w:rPr>
                <w:rFonts w:ascii="Arial" w:hAnsi="Arial" w:cs="Arial"/>
                <w:kern w:val="0"/>
                <w:sz w:val="20"/>
                <w:szCs w:val="20"/>
              </w:rPr>
            </w:pPr>
            <w:r>
              <w:rPr>
                <w:rFonts w:ascii="Arial" w:hAnsi="Arial" w:cs="Arial"/>
                <w:kern w:val="0"/>
                <w:sz w:val="20"/>
                <w:szCs w:val="20"/>
              </w:rPr>
              <w:t xml:space="preserve">     -368 </w:t>
            </w:r>
          </w:p>
        </w:tc>
        <w:tc>
          <w:tcPr>
            <w:tcW w:w="2175" w:type="dxa"/>
            <w:tcBorders>
              <w:top w:val="nil"/>
              <w:left w:val="nil"/>
              <w:bottom w:val="single" w:color="auto" w:sz="4" w:space="0"/>
              <w:right w:val="single" w:color="auto" w:sz="4" w:space="0"/>
            </w:tcBorders>
            <w:noWrap/>
            <w:vAlign w:val="center"/>
          </w:tcPr>
          <w:p>
            <w:pPr>
              <w:widowControl/>
              <w:jc w:val="right"/>
              <w:rPr>
                <w:rFonts w:ascii="Arial" w:hAnsi="Arial" w:cs="Arial"/>
                <w:kern w:val="0"/>
                <w:sz w:val="20"/>
                <w:szCs w:val="20"/>
              </w:rPr>
            </w:pPr>
            <w:r>
              <w:rPr>
                <w:rFonts w:ascii="Arial" w:hAnsi="Arial" w:cs="Arial"/>
                <w:kern w:val="0"/>
                <w:sz w:val="20"/>
                <w:szCs w:val="20"/>
              </w:rPr>
              <w:t>       </w:t>
            </w:r>
            <w:r>
              <w:rPr>
                <w:rFonts w:hint="eastAsia" w:ascii="Arial" w:hAnsi="Arial" w:cs="Arial"/>
                <w:kern w:val="0"/>
                <w:sz w:val="20"/>
                <w:szCs w:val="20"/>
              </w:rPr>
              <w:t>1086</w:t>
            </w:r>
            <w:r>
              <w:rPr>
                <w:rFonts w:ascii="Arial" w:hAnsi="Arial" w:cs="Arial"/>
                <w:kern w:val="0"/>
                <w:sz w:val="20"/>
                <w:szCs w:val="20"/>
              </w:rPr>
              <w:t xml:space="preserve"> </w:t>
            </w:r>
          </w:p>
        </w:tc>
        <w:tc>
          <w:tcPr>
            <w:tcW w:w="1998" w:type="dxa"/>
            <w:tcBorders>
              <w:top w:val="nil"/>
              <w:left w:val="nil"/>
              <w:bottom w:val="single" w:color="auto" w:sz="4" w:space="0"/>
              <w:right w:val="single" w:color="auto" w:sz="4" w:space="0"/>
            </w:tcBorders>
            <w:noWrap/>
            <w:vAlign w:val="center"/>
          </w:tcPr>
          <w:p>
            <w:pPr>
              <w:widowControl/>
              <w:jc w:val="right"/>
              <w:rPr>
                <w:rFonts w:ascii="Arial" w:hAnsi="Arial" w:cs="Arial"/>
                <w:kern w:val="0"/>
                <w:sz w:val="20"/>
                <w:szCs w:val="20"/>
              </w:rPr>
            </w:pPr>
            <w:r>
              <w:rPr>
                <w:rFonts w:ascii="Arial" w:hAnsi="Arial" w:cs="Arial"/>
                <w:kern w:val="0"/>
                <w:sz w:val="20"/>
                <w:szCs w:val="20"/>
              </w:rPr>
              <w:t xml:space="preserve">     368 </w:t>
            </w:r>
          </w:p>
        </w:tc>
      </w:tr>
      <w:tr>
        <w:tblPrEx>
          <w:tblCellMar>
            <w:top w:w="0" w:type="dxa"/>
            <w:left w:w="108" w:type="dxa"/>
            <w:bottom w:w="0" w:type="dxa"/>
            <w:right w:w="108" w:type="dxa"/>
          </w:tblCellMar>
        </w:tblPrEx>
        <w:trPr>
          <w:trHeight w:val="454" w:hRule="atLeast"/>
        </w:trPr>
        <w:tc>
          <w:tcPr>
            <w:tcW w:w="693"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美元</w:t>
            </w:r>
          </w:p>
        </w:tc>
        <w:tc>
          <w:tcPr>
            <w:tcW w:w="2102" w:type="dxa"/>
            <w:tcBorders>
              <w:top w:val="nil"/>
              <w:left w:val="nil"/>
              <w:bottom w:val="single" w:color="auto" w:sz="4" w:space="0"/>
              <w:right w:val="single" w:color="auto" w:sz="4" w:space="0"/>
            </w:tcBorders>
            <w:noWrap/>
            <w:vAlign w:val="center"/>
          </w:tcPr>
          <w:p>
            <w:pPr>
              <w:widowControl/>
              <w:jc w:val="right"/>
              <w:rPr>
                <w:rFonts w:ascii="Arial" w:hAnsi="Arial" w:cs="Arial"/>
                <w:kern w:val="0"/>
                <w:sz w:val="20"/>
                <w:szCs w:val="20"/>
              </w:rPr>
            </w:pPr>
            <w:r>
              <w:rPr>
                <w:rFonts w:ascii="Arial" w:hAnsi="Arial" w:cs="Arial"/>
                <w:kern w:val="0"/>
                <w:sz w:val="20"/>
                <w:szCs w:val="20"/>
              </w:rPr>
              <w:t>       -</w:t>
            </w:r>
            <w:r>
              <w:rPr>
                <w:rFonts w:hint="eastAsia" w:ascii="Arial" w:hAnsi="Arial" w:cs="Arial"/>
                <w:kern w:val="0"/>
                <w:sz w:val="20"/>
                <w:szCs w:val="20"/>
              </w:rPr>
              <w:t>474</w:t>
            </w:r>
            <w:r>
              <w:rPr>
                <w:rFonts w:ascii="Arial" w:hAnsi="Arial" w:cs="Arial"/>
                <w:kern w:val="0"/>
                <w:sz w:val="20"/>
                <w:szCs w:val="20"/>
              </w:rPr>
              <w:t xml:space="preserve"> </w:t>
            </w:r>
          </w:p>
        </w:tc>
        <w:tc>
          <w:tcPr>
            <w:tcW w:w="1822" w:type="dxa"/>
            <w:tcBorders>
              <w:top w:val="nil"/>
              <w:left w:val="nil"/>
              <w:bottom w:val="single" w:color="auto" w:sz="4" w:space="0"/>
              <w:right w:val="single" w:color="auto" w:sz="4" w:space="0"/>
            </w:tcBorders>
            <w:noWrap/>
            <w:vAlign w:val="center"/>
          </w:tcPr>
          <w:p>
            <w:pPr>
              <w:widowControl/>
              <w:jc w:val="right"/>
              <w:rPr>
                <w:rFonts w:ascii="Arial" w:hAnsi="Arial" w:cs="Arial"/>
                <w:kern w:val="0"/>
                <w:sz w:val="20"/>
                <w:szCs w:val="20"/>
              </w:rPr>
            </w:pPr>
            <w:r>
              <w:rPr>
                <w:rFonts w:ascii="Arial" w:hAnsi="Arial" w:cs="Arial"/>
                <w:kern w:val="0"/>
                <w:sz w:val="20"/>
                <w:szCs w:val="20"/>
              </w:rPr>
              <w:t xml:space="preserve">     -133 </w:t>
            </w:r>
          </w:p>
        </w:tc>
        <w:tc>
          <w:tcPr>
            <w:tcW w:w="2175" w:type="dxa"/>
            <w:tcBorders>
              <w:top w:val="nil"/>
              <w:left w:val="nil"/>
              <w:bottom w:val="single" w:color="auto" w:sz="4" w:space="0"/>
              <w:right w:val="single" w:color="auto" w:sz="4" w:space="0"/>
            </w:tcBorders>
            <w:noWrap/>
            <w:vAlign w:val="center"/>
          </w:tcPr>
          <w:p>
            <w:pPr>
              <w:widowControl/>
              <w:jc w:val="right"/>
              <w:rPr>
                <w:rFonts w:ascii="Arial" w:hAnsi="Arial" w:cs="Arial"/>
                <w:kern w:val="0"/>
                <w:sz w:val="20"/>
                <w:szCs w:val="20"/>
              </w:rPr>
            </w:pPr>
            <w:r>
              <w:rPr>
                <w:rFonts w:ascii="Arial" w:hAnsi="Arial" w:cs="Arial"/>
                <w:kern w:val="0"/>
                <w:sz w:val="20"/>
                <w:szCs w:val="20"/>
              </w:rPr>
              <w:t>       </w:t>
            </w:r>
            <w:r>
              <w:rPr>
                <w:rFonts w:hint="eastAsia" w:ascii="Arial" w:hAnsi="Arial" w:cs="Arial"/>
                <w:kern w:val="0"/>
                <w:sz w:val="20"/>
                <w:szCs w:val="20"/>
              </w:rPr>
              <w:t>474</w:t>
            </w:r>
            <w:r>
              <w:rPr>
                <w:rFonts w:ascii="Arial" w:hAnsi="Arial" w:cs="Arial"/>
                <w:kern w:val="0"/>
                <w:sz w:val="20"/>
                <w:szCs w:val="20"/>
              </w:rPr>
              <w:t xml:space="preserve"> </w:t>
            </w:r>
          </w:p>
        </w:tc>
        <w:tc>
          <w:tcPr>
            <w:tcW w:w="1998" w:type="dxa"/>
            <w:tcBorders>
              <w:top w:val="nil"/>
              <w:left w:val="nil"/>
              <w:bottom w:val="single" w:color="auto" w:sz="4" w:space="0"/>
              <w:right w:val="single" w:color="auto" w:sz="4" w:space="0"/>
            </w:tcBorders>
            <w:noWrap/>
            <w:vAlign w:val="center"/>
          </w:tcPr>
          <w:p>
            <w:pPr>
              <w:widowControl/>
              <w:jc w:val="right"/>
              <w:rPr>
                <w:rFonts w:ascii="Arial" w:hAnsi="Arial" w:cs="Arial"/>
                <w:kern w:val="0"/>
                <w:sz w:val="20"/>
                <w:szCs w:val="20"/>
              </w:rPr>
            </w:pPr>
            <w:r>
              <w:rPr>
                <w:rFonts w:ascii="Arial" w:hAnsi="Arial" w:cs="Arial"/>
                <w:kern w:val="0"/>
                <w:sz w:val="20"/>
                <w:szCs w:val="20"/>
              </w:rPr>
              <w:t xml:space="preserve">     134 </w:t>
            </w:r>
          </w:p>
        </w:tc>
      </w:tr>
      <w:tr>
        <w:tblPrEx>
          <w:tblCellMar>
            <w:top w:w="0" w:type="dxa"/>
            <w:left w:w="108" w:type="dxa"/>
            <w:bottom w:w="0" w:type="dxa"/>
            <w:right w:w="108" w:type="dxa"/>
          </w:tblCellMar>
        </w:tblPrEx>
        <w:trPr>
          <w:trHeight w:val="454" w:hRule="atLeast"/>
        </w:trPr>
        <w:tc>
          <w:tcPr>
            <w:tcW w:w="693"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w:t>
            </w:r>
          </w:p>
        </w:tc>
        <w:tc>
          <w:tcPr>
            <w:tcW w:w="2102" w:type="dxa"/>
            <w:tcBorders>
              <w:top w:val="nil"/>
              <w:left w:val="nil"/>
              <w:bottom w:val="single" w:color="auto" w:sz="4" w:space="0"/>
              <w:right w:val="single" w:color="auto" w:sz="4" w:space="0"/>
            </w:tcBorders>
            <w:noWrap/>
            <w:vAlign w:val="center"/>
          </w:tcPr>
          <w:p>
            <w:pPr>
              <w:widowControl/>
              <w:jc w:val="right"/>
              <w:rPr>
                <w:rFonts w:ascii="Arial" w:hAnsi="Arial" w:cs="Arial"/>
                <w:kern w:val="0"/>
                <w:sz w:val="20"/>
                <w:szCs w:val="20"/>
              </w:rPr>
            </w:pPr>
            <w:r>
              <w:rPr>
                <w:rFonts w:ascii="Arial" w:hAnsi="Arial" w:cs="Arial"/>
                <w:kern w:val="0"/>
                <w:sz w:val="20"/>
                <w:szCs w:val="20"/>
              </w:rPr>
              <w:t>         -</w:t>
            </w:r>
            <w:r>
              <w:rPr>
                <w:rFonts w:hint="eastAsia" w:ascii="Arial" w:hAnsi="Arial" w:cs="Arial"/>
                <w:kern w:val="0"/>
                <w:sz w:val="20"/>
                <w:szCs w:val="20"/>
              </w:rPr>
              <w:t>19</w:t>
            </w:r>
            <w:r>
              <w:rPr>
                <w:rFonts w:ascii="Arial" w:hAnsi="Arial" w:cs="Arial"/>
                <w:kern w:val="0"/>
                <w:sz w:val="20"/>
                <w:szCs w:val="20"/>
              </w:rPr>
              <w:t xml:space="preserve"> </w:t>
            </w:r>
          </w:p>
        </w:tc>
        <w:tc>
          <w:tcPr>
            <w:tcW w:w="1822" w:type="dxa"/>
            <w:tcBorders>
              <w:top w:val="nil"/>
              <w:left w:val="nil"/>
              <w:bottom w:val="single" w:color="auto" w:sz="4" w:space="0"/>
              <w:right w:val="single" w:color="auto" w:sz="4" w:space="0"/>
            </w:tcBorders>
            <w:noWrap/>
            <w:vAlign w:val="center"/>
          </w:tcPr>
          <w:p>
            <w:pPr>
              <w:widowControl/>
              <w:jc w:val="right"/>
              <w:rPr>
                <w:rFonts w:ascii="Arial" w:hAnsi="Arial" w:cs="Arial"/>
                <w:kern w:val="0"/>
                <w:sz w:val="20"/>
                <w:szCs w:val="20"/>
              </w:rPr>
            </w:pPr>
            <w:r>
              <w:rPr>
                <w:rFonts w:ascii="Arial" w:hAnsi="Arial" w:cs="Arial"/>
                <w:kern w:val="0"/>
                <w:sz w:val="20"/>
                <w:szCs w:val="20"/>
              </w:rPr>
              <w:t xml:space="preserve">       -3 </w:t>
            </w:r>
          </w:p>
        </w:tc>
        <w:tc>
          <w:tcPr>
            <w:tcW w:w="2175" w:type="dxa"/>
            <w:tcBorders>
              <w:top w:val="nil"/>
              <w:left w:val="nil"/>
              <w:bottom w:val="single" w:color="auto" w:sz="4" w:space="0"/>
              <w:right w:val="single" w:color="auto" w:sz="4" w:space="0"/>
            </w:tcBorders>
            <w:noWrap/>
            <w:vAlign w:val="center"/>
          </w:tcPr>
          <w:p>
            <w:pPr>
              <w:widowControl/>
              <w:jc w:val="right"/>
              <w:rPr>
                <w:rFonts w:ascii="Arial" w:hAnsi="Arial" w:cs="Arial"/>
                <w:kern w:val="0"/>
                <w:sz w:val="20"/>
                <w:szCs w:val="20"/>
              </w:rPr>
            </w:pPr>
            <w:r>
              <w:rPr>
                <w:rFonts w:ascii="Arial" w:hAnsi="Arial" w:cs="Arial"/>
                <w:kern w:val="0"/>
                <w:sz w:val="20"/>
                <w:szCs w:val="20"/>
              </w:rPr>
              <w:t>         </w:t>
            </w:r>
            <w:r>
              <w:rPr>
                <w:rFonts w:hint="eastAsia" w:ascii="Arial" w:hAnsi="Arial" w:cs="Arial"/>
                <w:kern w:val="0"/>
                <w:sz w:val="20"/>
                <w:szCs w:val="20"/>
              </w:rPr>
              <w:t>19</w:t>
            </w:r>
            <w:r>
              <w:rPr>
                <w:rFonts w:ascii="Arial" w:hAnsi="Arial" w:cs="Arial"/>
                <w:kern w:val="0"/>
                <w:sz w:val="20"/>
                <w:szCs w:val="20"/>
              </w:rPr>
              <w:t xml:space="preserve"> </w:t>
            </w:r>
          </w:p>
        </w:tc>
        <w:tc>
          <w:tcPr>
            <w:tcW w:w="1998" w:type="dxa"/>
            <w:tcBorders>
              <w:top w:val="nil"/>
              <w:left w:val="nil"/>
              <w:bottom w:val="single" w:color="auto" w:sz="4" w:space="0"/>
              <w:right w:val="single" w:color="auto" w:sz="4" w:space="0"/>
            </w:tcBorders>
            <w:noWrap/>
            <w:vAlign w:val="center"/>
          </w:tcPr>
          <w:p>
            <w:pPr>
              <w:widowControl/>
              <w:jc w:val="right"/>
              <w:rPr>
                <w:rFonts w:ascii="Arial" w:hAnsi="Arial" w:cs="Arial"/>
                <w:kern w:val="0"/>
                <w:sz w:val="20"/>
                <w:szCs w:val="20"/>
              </w:rPr>
            </w:pPr>
            <w:r>
              <w:rPr>
                <w:rFonts w:ascii="Arial" w:hAnsi="Arial" w:cs="Arial"/>
                <w:kern w:val="0"/>
                <w:sz w:val="20"/>
                <w:szCs w:val="20"/>
              </w:rPr>
              <w:t xml:space="preserve">       3 </w:t>
            </w:r>
          </w:p>
        </w:tc>
      </w:tr>
      <w:tr>
        <w:tblPrEx>
          <w:tblCellMar>
            <w:top w:w="0" w:type="dxa"/>
            <w:left w:w="108" w:type="dxa"/>
            <w:bottom w:w="0" w:type="dxa"/>
            <w:right w:w="108" w:type="dxa"/>
          </w:tblCellMar>
        </w:tblPrEx>
        <w:trPr>
          <w:trHeight w:val="454" w:hRule="atLeast"/>
        </w:trPr>
        <w:tc>
          <w:tcPr>
            <w:tcW w:w="693" w:type="pct"/>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合计</w:t>
            </w:r>
          </w:p>
        </w:tc>
        <w:tc>
          <w:tcPr>
            <w:tcW w:w="2102" w:type="dxa"/>
            <w:tcBorders>
              <w:top w:val="nil"/>
              <w:left w:val="nil"/>
              <w:bottom w:val="single" w:color="auto" w:sz="4" w:space="0"/>
              <w:right w:val="single" w:color="auto" w:sz="4" w:space="0"/>
            </w:tcBorders>
            <w:noWrap/>
            <w:vAlign w:val="center"/>
          </w:tcPr>
          <w:p>
            <w:pPr>
              <w:widowControl/>
              <w:jc w:val="right"/>
              <w:rPr>
                <w:rFonts w:ascii="Arial" w:hAnsi="Arial" w:cs="Arial"/>
                <w:kern w:val="0"/>
                <w:sz w:val="20"/>
                <w:szCs w:val="20"/>
              </w:rPr>
            </w:pPr>
            <w:r>
              <w:rPr>
                <w:rFonts w:ascii="Arial" w:hAnsi="Arial" w:cs="Arial"/>
                <w:kern w:val="0"/>
                <w:sz w:val="20"/>
                <w:szCs w:val="20"/>
              </w:rPr>
              <w:t>     -1,</w:t>
            </w:r>
            <w:r>
              <w:rPr>
                <w:rFonts w:hint="eastAsia" w:ascii="Arial" w:hAnsi="Arial" w:cs="Arial"/>
                <w:kern w:val="0"/>
                <w:sz w:val="20"/>
                <w:szCs w:val="20"/>
              </w:rPr>
              <w:t>579</w:t>
            </w:r>
            <w:r>
              <w:rPr>
                <w:rFonts w:ascii="Arial" w:hAnsi="Arial" w:cs="Arial"/>
                <w:kern w:val="0"/>
                <w:sz w:val="20"/>
                <w:szCs w:val="20"/>
              </w:rPr>
              <w:t xml:space="preserve"> </w:t>
            </w:r>
          </w:p>
        </w:tc>
        <w:tc>
          <w:tcPr>
            <w:tcW w:w="1822" w:type="dxa"/>
            <w:tcBorders>
              <w:top w:val="nil"/>
              <w:left w:val="nil"/>
              <w:bottom w:val="single" w:color="auto" w:sz="4" w:space="0"/>
              <w:right w:val="single" w:color="auto" w:sz="4" w:space="0"/>
            </w:tcBorders>
            <w:noWrap/>
            <w:vAlign w:val="center"/>
          </w:tcPr>
          <w:p>
            <w:pPr>
              <w:widowControl/>
              <w:jc w:val="right"/>
              <w:rPr>
                <w:rFonts w:ascii="Arial" w:hAnsi="Arial" w:cs="Arial"/>
                <w:kern w:val="0"/>
                <w:sz w:val="20"/>
                <w:szCs w:val="20"/>
              </w:rPr>
            </w:pPr>
            <w:r>
              <w:rPr>
                <w:rFonts w:ascii="Arial" w:hAnsi="Arial" w:cs="Arial"/>
                <w:kern w:val="0"/>
                <w:sz w:val="20"/>
                <w:szCs w:val="20"/>
              </w:rPr>
              <w:t xml:space="preserve">     -504 </w:t>
            </w:r>
          </w:p>
        </w:tc>
        <w:tc>
          <w:tcPr>
            <w:tcW w:w="2175" w:type="dxa"/>
            <w:tcBorders>
              <w:top w:val="nil"/>
              <w:left w:val="nil"/>
              <w:bottom w:val="single" w:color="auto" w:sz="4" w:space="0"/>
              <w:right w:val="single" w:color="auto" w:sz="4" w:space="0"/>
            </w:tcBorders>
            <w:noWrap/>
            <w:vAlign w:val="center"/>
          </w:tcPr>
          <w:p>
            <w:pPr>
              <w:widowControl/>
              <w:jc w:val="right"/>
              <w:rPr>
                <w:rFonts w:ascii="Arial" w:hAnsi="Arial" w:cs="Arial"/>
                <w:kern w:val="0"/>
                <w:sz w:val="20"/>
                <w:szCs w:val="20"/>
              </w:rPr>
            </w:pPr>
            <w:r>
              <w:rPr>
                <w:rFonts w:ascii="Arial" w:hAnsi="Arial" w:cs="Arial"/>
                <w:kern w:val="0"/>
                <w:sz w:val="20"/>
                <w:szCs w:val="20"/>
              </w:rPr>
              <w:t>     1,</w:t>
            </w:r>
            <w:r>
              <w:rPr>
                <w:rFonts w:hint="eastAsia" w:ascii="Arial" w:hAnsi="Arial" w:cs="Arial"/>
                <w:kern w:val="0"/>
                <w:sz w:val="20"/>
                <w:szCs w:val="20"/>
              </w:rPr>
              <w:t>579</w:t>
            </w:r>
            <w:r>
              <w:rPr>
                <w:rFonts w:ascii="Arial" w:hAnsi="Arial" w:cs="Arial"/>
                <w:kern w:val="0"/>
                <w:sz w:val="20"/>
                <w:szCs w:val="20"/>
              </w:rPr>
              <w:t xml:space="preserve"> </w:t>
            </w:r>
          </w:p>
        </w:tc>
        <w:tc>
          <w:tcPr>
            <w:tcW w:w="1998" w:type="dxa"/>
            <w:tcBorders>
              <w:top w:val="nil"/>
              <w:left w:val="nil"/>
              <w:bottom w:val="single" w:color="auto" w:sz="4" w:space="0"/>
              <w:right w:val="single" w:color="auto" w:sz="4" w:space="0"/>
            </w:tcBorders>
            <w:noWrap/>
            <w:vAlign w:val="center"/>
          </w:tcPr>
          <w:p>
            <w:pPr>
              <w:widowControl/>
              <w:jc w:val="right"/>
              <w:rPr>
                <w:rFonts w:ascii="Arial" w:hAnsi="Arial" w:cs="Arial"/>
                <w:kern w:val="0"/>
                <w:sz w:val="20"/>
                <w:szCs w:val="20"/>
              </w:rPr>
            </w:pPr>
            <w:r>
              <w:rPr>
                <w:rFonts w:ascii="Arial" w:hAnsi="Arial" w:cs="Arial"/>
                <w:kern w:val="0"/>
                <w:sz w:val="20"/>
                <w:szCs w:val="20"/>
              </w:rPr>
              <w:t xml:space="preserve">     504 </w:t>
            </w:r>
          </w:p>
        </w:tc>
      </w:tr>
    </w:tbl>
    <w:p>
      <w:pPr>
        <w:pStyle w:val="10"/>
        <w:ind w:firstLine="0" w:firstLineChars="0"/>
      </w:pPr>
      <w:r>
        <w:rPr>
          <w:rFonts w:hint="eastAsia"/>
        </w:rPr>
        <w:t>以上敏感性分析基于资产和负债具有静态的利率风险结构。有关的分析反映一年内本集团资产和负债的重新定价对本集团按年化计算的利息净收入及权益的影响，基于以下假设：</w:t>
      </w:r>
    </w:p>
    <w:p>
      <w:pPr>
        <w:pStyle w:val="10"/>
        <w:ind w:firstLine="0" w:firstLineChars="0"/>
      </w:pPr>
      <w:r>
        <w:rPr>
          <w:rFonts w:hint="eastAsia"/>
        </w:rPr>
        <w:t>(i)未考虑资产负债表日后业务的变化，分析基于资产负债表日的静态缺口；</w:t>
      </w:r>
    </w:p>
    <w:p>
      <w:pPr>
        <w:pStyle w:val="10"/>
        <w:ind w:firstLine="0" w:firstLineChars="0"/>
      </w:pPr>
      <w:r>
        <w:rPr>
          <w:rFonts w:hint="eastAsia"/>
        </w:rPr>
        <w:t>(ii)所有在一年内重新定价或到期的资产和负债均假设在有关期间开始时重新定价或到期；</w:t>
      </w:r>
    </w:p>
    <w:p>
      <w:pPr>
        <w:pStyle w:val="10"/>
        <w:ind w:firstLine="0" w:firstLineChars="0"/>
      </w:pPr>
      <w:r>
        <w:rPr>
          <w:rFonts w:hint="eastAsia"/>
        </w:rPr>
        <w:t>(iii)存放中央银行款项和所吸收的活期存款利率保持不变；</w:t>
      </w:r>
    </w:p>
    <w:p>
      <w:pPr>
        <w:pStyle w:val="10"/>
        <w:ind w:firstLine="0" w:firstLineChars="0"/>
      </w:pPr>
      <w:r>
        <w:rPr>
          <w:rFonts w:hint="eastAsia"/>
        </w:rPr>
        <w:t>(iv)收益率曲线随利率变化而平行移动；</w:t>
      </w:r>
    </w:p>
    <w:p>
      <w:pPr>
        <w:pStyle w:val="10"/>
        <w:ind w:firstLine="0" w:firstLineChars="0"/>
      </w:pPr>
      <w:r>
        <w:rPr>
          <w:rFonts w:hint="eastAsia"/>
        </w:rPr>
        <w:t>(v)资产和负债组合并无其他变化；</w:t>
      </w:r>
    </w:p>
    <w:p>
      <w:pPr>
        <w:pStyle w:val="10"/>
        <w:ind w:firstLine="0" w:firstLineChars="0"/>
      </w:pPr>
      <w:r>
        <w:rPr>
          <w:rFonts w:hint="eastAsia"/>
        </w:rPr>
        <w:t>(vi)未考虑利率变动对客户行为、市场价格和表外产品的影响。</w:t>
      </w:r>
    </w:p>
    <w:p>
      <w:pPr>
        <w:pStyle w:val="2"/>
      </w:pPr>
      <w:bookmarkStart w:id="13" w:name="_Toc44399896"/>
      <w:r>
        <w:rPr>
          <w:rFonts w:hint="eastAsia"/>
        </w:rPr>
        <w:t>六、银行账簿股权风险</w:t>
      </w:r>
      <w:bookmarkEnd w:id="13"/>
      <w:r>
        <w:rPr>
          <w:rFonts w:hint="eastAsia"/>
        </w:rPr>
        <w:t xml:space="preserve"> </w:t>
      </w:r>
    </w:p>
    <w:p>
      <w:pPr>
        <w:spacing w:line="460" w:lineRule="exact"/>
        <w:ind w:firstLine="560" w:firstLineChars="200"/>
        <w:rPr>
          <w:rFonts w:ascii="仿宋_GB2312" w:eastAsia="仿宋_GB2312"/>
          <w:sz w:val="28"/>
          <w:szCs w:val="28"/>
        </w:rPr>
      </w:pPr>
      <w:r>
        <w:rPr>
          <w:rFonts w:hint="eastAsia" w:ascii="仿宋_GB2312" w:eastAsia="仿宋_GB2312"/>
          <w:sz w:val="28"/>
          <w:szCs w:val="28"/>
        </w:rPr>
        <w:t>2022年6月30日</w:t>
      </w:r>
      <w:r>
        <w:rPr>
          <w:rFonts w:ascii="仿宋_GB2312" w:eastAsia="仿宋_GB2312"/>
          <w:sz w:val="28"/>
          <w:szCs w:val="28"/>
        </w:rPr>
        <w:t>，</w:t>
      </w:r>
      <w:r>
        <w:rPr>
          <w:rFonts w:hint="eastAsia" w:ascii="仿宋_GB2312" w:eastAsia="仿宋_GB2312"/>
          <w:sz w:val="28"/>
          <w:szCs w:val="28"/>
        </w:rPr>
        <w:t>本集团根据《资本管理办法》计量的银行账簿股权风险暴露情况如下表所示：</w:t>
      </w:r>
    </w:p>
    <w:p>
      <w:pPr>
        <w:pStyle w:val="10"/>
        <w:ind w:firstLine="0" w:firstLineChars="0"/>
        <w:jc w:val="right"/>
      </w:pPr>
      <w:r>
        <w:rPr>
          <w:rFonts w:hint="eastAsia"/>
        </w:rPr>
        <w:t>单位：百万元人民币</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5"/>
        <w:gridCol w:w="2253"/>
        <w:gridCol w:w="2253"/>
        <w:gridCol w:w="2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6" w:type="pct"/>
            <w:noWrap w:val="0"/>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股权类型</w:t>
            </w:r>
          </w:p>
        </w:tc>
        <w:tc>
          <w:tcPr>
            <w:tcW w:w="1228" w:type="pct"/>
            <w:noWrap w:val="0"/>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公开交易股权投资风险暴露</w:t>
            </w:r>
          </w:p>
        </w:tc>
        <w:tc>
          <w:tcPr>
            <w:tcW w:w="1228" w:type="pct"/>
            <w:noWrap w:val="0"/>
            <w:vAlign w:val="center"/>
          </w:tcPr>
          <w:p>
            <w:pPr>
              <w:widowControl/>
              <w:jc w:val="center"/>
              <w:rPr>
                <w:rFonts w:ascii="宋体" w:hAnsi="宋体" w:cs="宋体"/>
                <w:b/>
                <w:color w:val="000000"/>
                <w:kern w:val="0"/>
                <w:sz w:val="20"/>
                <w:szCs w:val="20"/>
              </w:rPr>
            </w:pPr>
            <w:r>
              <w:rPr>
                <w:rFonts w:hint="eastAsia" w:ascii="宋体" w:hAnsi="宋体" w:cs="宋体"/>
                <w:b/>
                <w:color w:val="000000"/>
                <w:kern w:val="0"/>
                <w:sz w:val="20"/>
                <w:szCs w:val="20"/>
              </w:rPr>
              <w:t>非公开交易股权投资风险暴露</w:t>
            </w:r>
          </w:p>
        </w:tc>
        <w:tc>
          <w:tcPr>
            <w:tcW w:w="1228" w:type="pct"/>
            <w:noWrap w:val="0"/>
            <w:vAlign w:val="center"/>
          </w:tcPr>
          <w:p>
            <w:pPr>
              <w:widowControl/>
              <w:ind w:left="-149" w:leftChars="-71" w:right="-63" w:rightChars="-30"/>
              <w:jc w:val="center"/>
              <w:rPr>
                <w:rFonts w:ascii="宋体" w:hAnsi="宋体" w:cs="宋体"/>
                <w:b/>
                <w:color w:val="000000"/>
                <w:kern w:val="0"/>
                <w:sz w:val="20"/>
                <w:szCs w:val="20"/>
              </w:rPr>
            </w:pPr>
            <w:r>
              <w:rPr>
                <w:rFonts w:hint="eastAsia" w:ascii="宋体" w:hAnsi="宋体" w:cs="宋体"/>
                <w:b/>
                <w:color w:val="000000"/>
                <w:kern w:val="0"/>
                <w:sz w:val="20"/>
                <w:szCs w:val="20"/>
              </w:rPr>
              <w:t>未实现潜在的风险损益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6" w:type="pc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金融机构</w:t>
            </w:r>
          </w:p>
        </w:tc>
        <w:tc>
          <w:tcPr>
            <w:tcW w:w="2253" w:type="dxa"/>
            <w:noWrap w:val="0"/>
            <w:vAlign w:val="bottom"/>
          </w:tcPr>
          <w:p>
            <w:pPr>
              <w:widowControl/>
              <w:jc w:val="right"/>
              <w:textAlignment w:val="bottom"/>
              <w:rPr>
                <w:rFonts w:ascii="Arial" w:hAnsi="Arial" w:cs="Arial"/>
                <w:color w:val="000000"/>
                <w:kern w:val="0"/>
                <w:sz w:val="20"/>
                <w:szCs w:val="20"/>
              </w:rPr>
            </w:pPr>
            <w:r>
              <w:rPr>
                <w:rFonts w:hint="eastAsia" w:ascii="宋体" w:hAnsi="宋体" w:cs="宋体"/>
                <w:color w:val="000000"/>
                <w:kern w:val="0"/>
                <w:sz w:val="22"/>
              </w:rPr>
              <w:t xml:space="preserve">255 </w:t>
            </w:r>
          </w:p>
        </w:tc>
        <w:tc>
          <w:tcPr>
            <w:tcW w:w="2253" w:type="dxa"/>
            <w:noWrap w:val="0"/>
            <w:vAlign w:val="bottom"/>
          </w:tcPr>
          <w:p>
            <w:pPr>
              <w:widowControl/>
              <w:jc w:val="right"/>
              <w:textAlignment w:val="bottom"/>
              <w:rPr>
                <w:rFonts w:ascii="Arial" w:hAnsi="Arial" w:cs="Arial"/>
                <w:color w:val="000000"/>
                <w:kern w:val="0"/>
                <w:sz w:val="20"/>
                <w:szCs w:val="20"/>
              </w:rPr>
            </w:pPr>
            <w:r>
              <w:rPr>
                <w:rFonts w:hint="eastAsia" w:ascii="宋体" w:hAnsi="宋体" w:cs="宋体"/>
                <w:color w:val="000000"/>
                <w:kern w:val="0"/>
                <w:sz w:val="22"/>
              </w:rPr>
              <w:t xml:space="preserve">540 </w:t>
            </w:r>
          </w:p>
        </w:tc>
        <w:tc>
          <w:tcPr>
            <w:tcW w:w="2253" w:type="dxa"/>
            <w:noWrap w:val="0"/>
            <w:vAlign w:val="center"/>
          </w:tcPr>
          <w:p>
            <w:pPr>
              <w:widowControl/>
              <w:jc w:val="right"/>
              <w:textAlignment w:val="bottom"/>
              <w:rPr>
                <w:rFonts w:ascii="Arial" w:hAnsi="Arial" w:cs="Arial"/>
                <w:color w:val="000000"/>
                <w:kern w:val="0"/>
                <w:sz w:val="20"/>
                <w:szCs w:val="20"/>
              </w:rPr>
            </w:pPr>
            <w:r>
              <w:rPr>
                <w:rFonts w:hint="eastAsia" w:ascii="宋体" w:hAnsi="宋体" w:cs="宋体"/>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6" w:type="pc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公司</w:t>
            </w:r>
          </w:p>
        </w:tc>
        <w:tc>
          <w:tcPr>
            <w:tcW w:w="2253" w:type="dxa"/>
            <w:noWrap w:val="0"/>
            <w:vAlign w:val="bottom"/>
          </w:tcPr>
          <w:p>
            <w:pPr>
              <w:widowControl/>
              <w:jc w:val="right"/>
              <w:textAlignment w:val="bottom"/>
              <w:rPr>
                <w:rFonts w:ascii="Arial" w:hAnsi="Arial" w:cs="Arial"/>
                <w:color w:val="000000"/>
                <w:kern w:val="0"/>
                <w:sz w:val="20"/>
                <w:szCs w:val="20"/>
              </w:rPr>
            </w:pPr>
            <w:r>
              <w:rPr>
                <w:rFonts w:hint="eastAsia" w:ascii="宋体" w:hAnsi="宋体" w:cs="宋体"/>
                <w:color w:val="000000"/>
                <w:kern w:val="0"/>
                <w:sz w:val="22"/>
              </w:rPr>
              <w:t xml:space="preserve">133 </w:t>
            </w:r>
          </w:p>
        </w:tc>
        <w:tc>
          <w:tcPr>
            <w:tcW w:w="2253" w:type="dxa"/>
            <w:noWrap w:val="0"/>
            <w:vAlign w:val="bottom"/>
          </w:tcPr>
          <w:p>
            <w:pPr>
              <w:widowControl/>
              <w:jc w:val="right"/>
              <w:textAlignment w:val="bottom"/>
              <w:rPr>
                <w:rFonts w:ascii="Arial" w:hAnsi="Arial" w:cs="Arial"/>
                <w:color w:val="000000"/>
                <w:kern w:val="0"/>
                <w:sz w:val="20"/>
                <w:szCs w:val="20"/>
              </w:rPr>
            </w:pPr>
            <w:r>
              <w:rPr>
                <w:rFonts w:hint="eastAsia" w:ascii="宋体" w:hAnsi="宋体" w:cs="宋体"/>
                <w:color w:val="000000"/>
                <w:kern w:val="0"/>
                <w:sz w:val="22"/>
              </w:rPr>
              <w:t xml:space="preserve">873 </w:t>
            </w:r>
          </w:p>
        </w:tc>
        <w:tc>
          <w:tcPr>
            <w:tcW w:w="2253" w:type="dxa"/>
            <w:noWrap w:val="0"/>
            <w:vAlign w:val="center"/>
          </w:tcPr>
          <w:p>
            <w:pPr>
              <w:widowControl/>
              <w:jc w:val="right"/>
              <w:textAlignment w:val="bottom"/>
              <w:rPr>
                <w:rFonts w:ascii="Arial" w:hAnsi="Arial" w:cs="Arial"/>
                <w:color w:val="000000"/>
                <w:kern w:val="0"/>
                <w:sz w:val="20"/>
                <w:szCs w:val="20"/>
              </w:rPr>
            </w:pPr>
            <w:r>
              <w:rPr>
                <w:rFonts w:hint="eastAsia" w:ascii="宋体" w:hAnsi="宋体" w:cs="宋体"/>
                <w:color w:val="000000"/>
                <w:kern w:val="0"/>
                <w:sz w:val="22"/>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16" w:type="pct"/>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2253" w:type="dxa"/>
            <w:noWrap w:val="0"/>
            <w:vAlign w:val="bottom"/>
          </w:tcPr>
          <w:p>
            <w:pPr>
              <w:widowControl/>
              <w:jc w:val="right"/>
              <w:textAlignment w:val="bottom"/>
              <w:rPr>
                <w:rFonts w:ascii="Arial" w:hAnsi="Arial" w:cs="Arial"/>
                <w:color w:val="000000"/>
                <w:kern w:val="0"/>
                <w:sz w:val="20"/>
                <w:szCs w:val="20"/>
              </w:rPr>
            </w:pPr>
            <w:r>
              <w:rPr>
                <w:rFonts w:hint="eastAsia" w:ascii="宋体" w:hAnsi="宋体" w:cs="宋体"/>
                <w:color w:val="000000"/>
                <w:kern w:val="0"/>
                <w:sz w:val="22"/>
              </w:rPr>
              <w:t xml:space="preserve">388 </w:t>
            </w:r>
          </w:p>
        </w:tc>
        <w:tc>
          <w:tcPr>
            <w:tcW w:w="2253" w:type="dxa"/>
            <w:noWrap w:val="0"/>
            <w:vAlign w:val="bottom"/>
          </w:tcPr>
          <w:p>
            <w:pPr>
              <w:widowControl/>
              <w:jc w:val="right"/>
              <w:textAlignment w:val="bottom"/>
              <w:rPr>
                <w:rFonts w:ascii="Arial" w:hAnsi="Arial" w:cs="Arial"/>
                <w:color w:val="000000"/>
                <w:kern w:val="0"/>
                <w:sz w:val="20"/>
                <w:szCs w:val="20"/>
              </w:rPr>
            </w:pPr>
            <w:r>
              <w:rPr>
                <w:rFonts w:hint="eastAsia" w:ascii="宋体" w:hAnsi="宋体" w:cs="宋体"/>
                <w:color w:val="000000"/>
                <w:kern w:val="0"/>
                <w:sz w:val="22"/>
              </w:rPr>
              <w:t xml:space="preserve">1413 </w:t>
            </w:r>
          </w:p>
        </w:tc>
        <w:tc>
          <w:tcPr>
            <w:tcW w:w="2253" w:type="dxa"/>
            <w:noWrap w:val="0"/>
            <w:vAlign w:val="center"/>
          </w:tcPr>
          <w:p>
            <w:pPr>
              <w:widowControl/>
              <w:jc w:val="right"/>
              <w:textAlignment w:val="bottom"/>
              <w:rPr>
                <w:rFonts w:ascii="Arial" w:hAnsi="Arial" w:cs="Arial"/>
                <w:color w:val="000000"/>
                <w:kern w:val="0"/>
                <w:sz w:val="20"/>
                <w:szCs w:val="20"/>
              </w:rPr>
            </w:pPr>
            <w:r>
              <w:rPr>
                <w:rFonts w:hint="eastAsia" w:ascii="宋体" w:hAnsi="宋体" w:cs="宋体"/>
                <w:color w:val="000000"/>
                <w:kern w:val="0"/>
                <w:sz w:val="22"/>
              </w:rPr>
              <w:t>87</w:t>
            </w:r>
          </w:p>
        </w:tc>
      </w:tr>
    </w:tbl>
    <w:p>
      <w:pPr>
        <w:pStyle w:val="10"/>
        <w:ind w:firstLine="0" w:firstLineChars="0"/>
      </w:pPr>
      <w:r>
        <w:t>注：</w:t>
      </w:r>
      <w:r>
        <w:rPr>
          <w:rFonts w:ascii="TimesNewRomanPSMT" w:hAnsi="TimesNewRomanPSMT"/>
        </w:rPr>
        <w:t>1</w:t>
      </w:r>
      <w:r>
        <w:t>、公开交易股权投资是指被投资机构为上市公司的股权投资，非公开交易股权投资是指被投资机构为非上市公司的股权投资。</w:t>
      </w:r>
    </w:p>
    <w:p>
      <w:pPr>
        <w:pStyle w:val="10"/>
        <w:ind w:firstLine="0" w:firstLineChars="0"/>
      </w:pPr>
      <w:r>
        <w:rPr>
          <w:rFonts w:ascii="TimesNewRomanPSMT" w:hAnsi="TimesNewRomanPSMT"/>
        </w:rPr>
        <w:t>2</w:t>
      </w:r>
      <w:r>
        <w:t>、未实现潜在的风险损益是指资产负债表已确认而损益表上未确认的未实现利得或损失。</w:t>
      </w:r>
    </w:p>
    <w:p>
      <w:pPr>
        <w:rPr>
          <w:rFonts w:ascii="仿宋_GB2312" w:hAnsi="仿宋_GB2312" w:eastAsia="仿宋_GB2312" w:cs="仿宋_GB2312"/>
          <w:b/>
          <w:bCs/>
          <w:sz w:val="28"/>
          <w:szCs w:val="28"/>
        </w:rPr>
      </w:pPr>
      <w:r>
        <w:rPr>
          <w:rFonts w:ascii="仿宋_GB2312" w:eastAsia="仿宋_GB2312"/>
          <w:sz w:val="28"/>
          <w:szCs w:val="28"/>
        </w:rPr>
        <w:br w:type="page"/>
      </w:r>
      <w:bookmarkStart w:id="14" w:name="_Toc44399897"/>
      <w:r>
        <w:rPr>
          <w:rFonts w:hint="eastAsia" w:ascii="仿宋_GB2312" w:hAnsi="仿宋_GB2312" w:eastAsia="仿宋_GB2312" w:cs="仿宋_GB2312"/>
          <w:b w:val="0"/>
          <w:bCs w:val="0"/>
          <w:sz w:val="28"/>
          <w:szCs w:val="28"/>
        </w:rPr>
        <w:t>附件：资本构成信息附表</w:t>
      </w:r>
      <w:bookmarkEnd w:id="14"/>
    </w:p>
    <w:p>
      <w:pPr>
        <w:tabs>
          <w:tab w:val="left" w:pos="1134"/>
          <w:tab w:val="left" w:pos="1701"/>
          <w:tab w:val="right" w:pos="8370"/>
          <w:tab w:val="right" w:pos="9071"/>
        </w:tabs>
        <w:adjustRightInd w:val="0"/>
        <w:snapToGrid w:val="0"/>
        <w:ind w:right="-235"/>
        <w:jc w:val="center"/>
        <w:rPr>
          <w:rFonts w:ascii="宋体" w:hAnsi="宋体"/>
          <w:b/>
          <w:sz w:val="32"/>
          <w:szCs w:val="36"/>
        </w:rPr>
      </w:pPr>
    </w:p>
    <w:p>
      <w:pPr>
        <w:tabs>
          <w:tab w:val="left" w:pos="1134"/>
          <w:tab w:val="left" w:pos="1701"/>
          <w:tab w:val="right" w:pos="8370"/>
          <w:tab w:val="right" w:pos="9071"/>
        </w:tabs>
        <w:adjustRightInd w:val="0"/>
        <w:snapToGrid w:val="0"/>
        <w:ind w:right="-235"/>
        <w:jc w:val="center"/>
        <w:rPr>
          <w:rFonts w:ascii="宋体" w:hAnsi="宋体"/>
          <w:b/>
          <w:sz w:val="32"/>
          <w:szCs w:val="36"/>
        </w:rPr>
      </w:pPr>
      <w:r>
        <w:rPr>
          <w:rFonts w:hint="eastAsia" w:ascii="宋体" w:hAnsi="宋体"/>
          <w:b/>
          <w:sz w:val="32"/>
          <w:szCs w:val="36"/>
        </w:rPr>
        <w:t>上海银行股份有限公司</w:t>
      </w:r>
    </w:p>
    <w:p>
      <w:pPr>
        <w:tabs>
          <w:tab w:val="left" w:pos="1134"/>
          <w:tab w:val="left" w:pos="1701"/>
          <w:tab w:val="right" w:pos="8370"/>
          <w:tab w:val="right" w:pos="9071"/>
        </w:tabs>
        <w:adjustRightInd w:val="0"/>
        <w:snapToGrid w:val="0"/>
        <w:ind w:right="-235"/>
        <w:jc w:val="center"/>
        <w:rPr>
          <w:rFonts w:ascii="宋体" w:hAnsi="宋体"/>
          <w:b/>
          <w:sz w:val="32"/>
          <w:szCs w:val="36"/>
        </w:rPr>
      </w:pPr>
      <w:r>
        <w:rPr>
          <w:rFonts w:ascii="宋体" w:hAnsi="宋体"/>
          <w:b/>
          <w:sz w:val="32"/>
          <w:szCs w:val="36"/>
        </w:rPr>
        <w:t>20</w:t>
      </w:r>
      <w:r>
        <w:rPr>
          <w:rFonts w:hint="eastAsia" w:ascii="宋体" w:hAnsi="宋体"/>
          <w:b/>
          <w:sz w:val="32"/>
          <w:szCs w:val="36"/>
        </w:rPr>
        <w:t>22年上半年资本构成信息附表</w:t>
      </w:r>
    </w:p>
    <w:p>
      <w:pPr>
        <w:tabs>
          <w:tab w:val="left" w:pos="1134"/>
          <w:tab w:val="left" w:pos="1701"/>
          <w:tab w:val="right" w:pos="8370"/>
          <w:tab w:val="right" w:pos="9071"/>
        </w:tabs>
        <w:adjustRightInd w:val="0"/>
        <w:snapToGrid w:val="0"/>
        <w:ind w:right="-235"/>
        <w:jc w:val="center"/>
        <w:rPr>
          <w:rFonts w:ascii="黑体" w:hAnsi="黑体" w:eastAsia="黑体"/>
          <w:b/>
          <w:sz w:val="36"/>
          <w:szCs w:val="36"/>
        </w:rPr>
      </w:pPr>
    </w:p>
    <w:p>
      <w:pPr>
        <w:tabs>
          <w:tab w:val="left" w:pos="1134"/>
          <w:tab w:val="left" w:pos="1701"/>
          <w:tab w:val="right" w:pos="8370"/>
          <w:tab w:val="right" w:pos="9071"/>
        </w:tabs>
        <w:adjustRightInd w:val="0"/>
        <w:snapToGrid w:val="0"/>
        <w:ind w:right="-235" w:firstLine="480" w:firstLineChars="200"/>
        <w:rPr>
          <w:rFonts w:eastAsia="华文楷体"/>
          <w:sz w:val="24"/>
          <w:szCs w:val="24"/>
        </w:rPr>
      </w:pPr>
      <w:r>
        <w:rPr>
          <w:rFonts w:hint="eastAsia" w:eastAsia="华文楷体"/>
          <w:sz w:val="24"/>
          <w:szCs w:val="24"/>
        </w:rPr>
        <w:t>以下监管资本项目与资产负债表对应关系附表依据《中国银监会关于印发商业银行资本监管配套政策文件的通知》（银监发[2013]33号）中《关于商业银行资本构成信息披露的监管要求》进行披露。</w:t>
      </w:r>
    </w:p>
    <w:p>
      <w:pPr>
        <w:tabs>
          <w:tab w:val="left" w:pos="1134"/>
          <w:tab w:val="left" w:pos="1701"/>
          <w:tab w:val="right" w:pos="8370"/>
          <w:tab w:val="right" w:pos="9071"/>
        </w:tabs>
        <w:adjustRightInd w:val="0"/>
        <w:snapToGrid w:val="0"/>
        <w:ind w:right="-235"/>
        <w:rPr>
          <w:rFonts w:eastAsia="华文楷体"/>
          <w:b/>
          <w:sz w:val="24"/>
          <w:szCs w:val="24"/>
        </w:rPr>
      </w:pPr>
    </w:p>
    <w:p>
      <w:pPr>
        <w:tabs>
          <w:tab w:val="left" w:pos="1134"/>
          <w:tab w:val="left" w:pos="1701"/>
          <w:tab w:val="right" w:pos="8370"/>
          <w:tab w:val="right" w:pos="9071"/>
        </w:tabs>
        <w:adjustRightInd w:val="0"/>
        <w:snapToGrid w:val="0"/>
        <w:ind w:right="-235"/>
        <w:rPr>
          <w:rFonts w:eastAsia="华文楷体"/>
          <w:b/>
          <w:sz w:val="24"/>
          <w:szCs w:val="24"/>
        </w:rPr>
      </w:pPr>
      <w:r>
        <w:rPr>
          <w:rFonts w:hint="eastAsia" w:eastAsia="华文楷体"/>
          <w:b/>
          <w:sz w:val="24"/>
          <w:szCs w:val="24"/>
        </w:rPr>
        <w:t>（一）资本构成</w:t>
      </w:r>
    </w:p>
    <w:p>
      <w:pPr>
        <w:tabs>
          <w:tab w:val="left" w:pos="1134"/>
          <w:tab w:val="left" w:pos="1701"/>
          <w:tab w:val="right" w:pos="8370"/>
          <w:tab w:val="right" w:pos="9071"/>
        </w:tabs>
        <w:adjustRightInd w:val="0"/>
        <w:snapToGrid w:val="0"/>
        <w:ind w:right="-235"/>
        <w:rPr>
          <w:rFonts w:eastAsia="华文楷体"/>
          <w:szCs w:val="24"/>
        </w:rPr>
      </w:pPr>
      <w:r>
        <w:rPr>
          <w:rFonts w:hint="eastAsia" w:eastAsia="华文楷体"/>
          <w:szCs w:val="24"/>
        </w:rPr>
        <w:t>单位</w:t>
      </w:r>
      <w:r>
        <w:rPr>
          <w:rFonts w:eastAsia="华文楷体"/>
          <w:szCs w:val="24"/>
        </w:rPr>
        <w:t>：</w:t>
      </w:r>
      <w:r>
        <w:rPr>
          <w:rFonts w:hint="eastAsia" w:eastAsia="华文楷体"/>
          <w:szCs w:val="24"/>
        </w:rPr>
        <w:t>百万</w:t>
      </w:r>
      <w:r>
        <w:rPr>
          <w:rFonts w:eastAsia="华文楷体"/>
          <w:szCs w:val="24"/>
        </w:rPr>
        <w:t>元（人民币）、%</w:t>
      </w:r>
    </w:p>
    <w:tbl>
      <w:tblPr>
        <w:tblStyle w:val="6"/>
        <w:tblW w:w="5517" w:type="pct"/>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5826"/>
        <w:gridCol w:w="2122"/>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231" w:type="pct"/>
            <w:gridSpan w:val="2"/>
            <w:noWrap/>
            <w:vAlign w:val="center"/>
          </w:tcPr>
          <w:p>
            <w:pPr>
              <w:widowControl/>
              <w:jc w:val="left"/>
              <w:rPr>
                <w:rFonts w:ascii="华文楷体" w:hAnsi="华文楷体" w:eastAsia="华文楷体" w:cs="宋体"/>
                <w:b/>
                <w:bCs/>
                <w:color w:val="000000"/>
                <w:kern w:val="0"/>
              </w:rPr>
            </w:pPr>
            <w:r>
              <w:rPr>
                <w:rFonts w:hint="eastAsia" w:ascii="华文楷体" w:hAnsi="华文楷体" w:eastAsia="华文楷体" w:cs="宋体"/>
                <w:b/>
                <w:bCs/>
                <w:color w:val="000000"/>
                <w:kern w:val="0"/>
              </w:rPr>
              <w:t>核心一级资本</w:t>
            </w:r>
          </w:p>
        </w:tc>
        <w:tc>
          <w:tcPr>
            <w:tcW w:w="1048" w:type="pct"/>
            <w:noWrap/>
            <w:vAlign w:val="center"/>
          </w:tcPr>
          <w:p>
            <w:pPr>
              <w:widowControl/>
              <w:jc w:val="center"/>
              <w:rPr>
                <w:rFonts w:ascii="华文楷体" w:hAnsi="华文楷体" w:eastAsia="华文楷体" w:cs="宋体"/>
                <w:color w:val="000000"/>
                <w:kern w:val="0"/>
              </w:rPr>
            </w:pPr>
            <w:r>
              <w:rPr>
                <w:rFonts w:hint="eastAsia" w:ascii="华文楷体" w:hAnsi="华文楷体" w:eastAsia="华文楷体" w:cs="宋体"/>
                <w:color w:val="000000"/>
                <w:kern w:val="0"/>
              </w:rPr>
              <w:t>2022年6月</w:t>
            </w:r>
            <w:r>
              <w:rPr>
                <w:rFonts w:ascii="华文楷体" w:hAnsi="华文楷体" w:eastAsia="华文楷体" w:cs="宋体"/>
                <w:color w:val="000000"/>
                <w:kern w:val="0"/>
              </w:rPr>
              <w:t>3</w:t>
            </w:r>
            <w:r>
              <w:rPr>
                <w:rFonts w:hint="eastAsia" w:ascii="华文楷体" w:hAnsi="华文楷体" w:eastAsia="华文楷体" w:cs="宋体"/>
                <w:color w:val="000000"/>
                <w:kern w:val="0"/>
              </w:rPr>
              <w:t>0日</w:t>
            </w:r>
          </w:p>
        </w:tc>
        <w:tc>
          <w:tcPr>
            <w:tcW w:w="720" w:type="pct"/>
            <w:noWrap w:val="0"/>
            <w:vAlign w:val="center"/>
          </w:tcPr>
          <w:p>
            <w:pPr>
              <w:widowControl/>
              <w:jc w:val="center"/>
              <w:rPr>
                <w:rFonts w:ascii="华文楷体" w:hAnsi="华文楷体" w:eastAsia="华文楷体" w:cs="宋体"/>
                <w:color w:val="000000"/>
                <w:kern w:val="0"/>
              </w:rPr>
            </w:pPr>
            <w:r>
              <w:rPr>
                <w:rFonts w:hint="eastAsia" w:ascii="华文楷体" w:hAnsi="华文楷体" w:eastAsia="华文楷体" w:cs="宋体"/>
                <w:color w:val="000000"/>
                <w:kern w:val="0"/>
              </w:rPr>
              <w:t>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1</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实收资本</w:t>
            </w:r>
          </w:p>
        </w:tc>
        <w:tc>
          <w:tcPr>
            <w:tcW w:w="1048" w:type="pct"/>
            <w:noWrap/>
            <w:vAlign w:val="center"/>
          </w:tcPr>
          <w:p>
            <w:pPr>
              <w:keepNext w:val="0"/>
              <w:keepLines w:val="0"/>
              <w:widowControl/>
              <w:suppressLineNumbers w:val="0"/>
              <w:jc w:val="right"/>
              <w:textAlignment w:val="center"/>
              <w:rPr>
                <w:color w:val="000000"/>
                <w:kern w:val="0"/>
                <w:sz w:val="22"/>
              </w:rPr>
            </w:pPr>
            <w:r>
              <w:rPr>
                <w:rFonts w:hint="default" w:ascii="Times New Roman" w:hAnsi="Times New Roman" w:eastAsia="宋体" w:cs="Times New Roman"/>
                <w:i w:val="0"/>
                <w:iCs w:val="0"/>
                <w:color w:val="000000"/>
                <w:kern w:val="0"/>
                <w:sz w:val="22"/>
                <w:szCs w:val="22"/>
                <w:u w:val="none"/>
                <w:lang w:val="en-US" w:eastAsia="zh-CN" w:bidi="ar"/>
              </w:rPr>
              <w:t>14,207</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2</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留存收益</w:t>
            </w:r>
          </w:p>
        </w:tc>
        <w:tc>
          <w:tcPr>
            <w:tcW w:w="1048" w:type="pct"/>
            <w:noWrap/>
            <w:vAlign w:val="center"/>
          </w:tcPr>
          <w:p>
            <w:pPr>
              <w:keepNext w:val="0"/>
              <w:keepLines w:val="0"/>
              <w:widowControl/>
              <w:suppressLineNumbers w:val="0"/>
              <w:jc w:val="right"/>
              <w:textAlignment w:val="center"/>
              <w:rPr>
                <w:color w:val="000000"/>
                <w:sz w:val="22"/>
              </w:rPr>
            </w:pPr>
            <w:r>
              <w:rPr>
                <w:rFonts w:hint="default" w:ascii="Times New Roman" w:hAnsi="Times New Roman" w:eastAsia="宋体" w:cs="Times New Roman"/>
                <w:i w:val="0"/>
                <w:iCs w:val="0"/>
                <w:color w:val="000000"/>
                <w:kern w:val="0"/>
                <w:sz w:val="22"/>
                <w:szCs w:val="22"/>
                <w:u w:val="none"/>
                <w:lang w:val="en-US" w:eastAsia="zh-CN" w:bidi="ar"/>
              </w:rPr>
              <w:t>153,146</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2a</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盈余公积</w:t>
            </w:r>
          </w:p>
        </w:tc>
        <w:tc>
          <w:tcPr>
            <w:tcW w:w="1048" w:type="pct"/>
            <w:noWrap/>
            <w:vAlign w:val="center"/>
          </w:tcPr>
          <w:p>
            <w:pPr>
              <w:keepNext w:val="0"/>
              <w:keepLines w:val="0"/>
              <w:widowControl/>
              <w:suppressLineNumbers w:val="0"/>
              <w:jc w:val="right"/>
              <w:textAlignment w:val="center"/>
              <w:rPr>
                <w:color w:val="000000"/>
                <w:sz w:val="22"/>
              </w:rPr>
            </w:pPr>
            <w:r>
              <w:rPr>
                <w:rFonts w:hint="default" w:ascii="Times New Roman" w:hAnsi="Times New Roman" w:eastAsia="宋体" w:cs="Times New Roman"/>
                <w:i w:val="0"/>
                <w:iCs w:val="0"/>
                <w:color w:val="000000"/>
                <w:kern w:val="0"/>
                <w:sz w:val="22"/>
                <w:szCs w:val="22"/>
                <w:u w:val="none"/>
                <w:lang w:val="en-US" w:eastAsia="zh-CN" w:bidi="ar"/>
              </w:rPr>
              <w:t>54,984</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2b</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一般风险准备</w:t>
            </w:r>
          </w:p>
        </w:tc>
        <w:tc>
          <w:tcPr>
            <w:tcW w:w="1048" w:type="pct"/>
            <w:noWrap/>
            <w:vAlign w:val="center"/>
          </w:tcPr>
          <w:p>
            <w:pPr>
              <w:keepNext w:val="0"/>
              <w:keepLines w:val="0"/>
              <w:widowControl/>
              <w:suppressLineNumbers w:val="0"/>
              <w:jc w:val="right"/>
              <w:textAlignment w:val="center"/>
              <w:rPr>
                <w:color w:val="000000"/>
                <w:sz w:val="22"/>
              </w:rPr>
            </w:pPr>
            <w:r>
              <w:rPr>
                <w:rFonts w:hint="default" w:ascii="Times New Roman" w:hAnsi="Times New Roman" w:eastAsia="宋体" w:cs="Times New Roman"/>
                <w:i w:val="0"/>
                <w:iCs w:val="0"/>
                <w:color w:val="000000"/>
                <w:kern w:val="0"/>
                <w:sz w:val="22"/>
                <w:szCs w:val="22"/>
                <w:u w:val="none"/>
                <w:lang w:val="en-US" w:eastAsia="zh-CN" w:bidi="ar"/>
              </w:rPr>
              <w:t>37,686</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2c</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未分配利润</w:t>
            </w:r>
          </w:p>
        </w:tc>
        <w:tc>
          <w:tcPr>
            <w:tcW w:w="1048" w:type="pct"/>
            <w:noWrap/>
            <w:vAlign w:val="center"/>
          </w:tcPr>
          <w:p>
            <w:pPr>
              <w:keepNext w:val="0"/>
              <w:keepLines w:val="0"/>
              <w:widowControl/>
              <w:suppressLineNumbers w:val="0"/>
              <w:jc w:val="right"/>
              <w:textAlignment w:val="center"/>
              <w:rPr>
                <w:color w:val="000000"/>
                <w:sz w:val="22"/>
              </w:rPr>
            </w:pPr>
            <w:r>
              <w:rPr>
                <w:rFonts w:hint="default" w:ascii="Times New Roman" w:hAnsi="Times New Roman" w:eastAsia="宋体" w:cs="Times New Roman"/>
                <w:i w:val="0"/>
                <w:iCs w:val="0"/>
                <w:color w:val="000000"/>
                <w:kern w:val="0"/>
                <w:sz w:val="22"/>
                <w:szCs w:val="22"/>
                <w:u w:val="none"/>
                <w:lang w:val="en-US" w:eastAsia="zh-CN" w:bidi="ar"/>
              </w:rPr>
              <w:t>60,476</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3</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累计其他综合收益和公开储备</w:t>
            </w:r>
          </w:p>
        </w:tc>
        <w:tc>
          <w:tcPr>
            <w:tcW w:w="1048" w:type="pct"/>
            <w:noWrap/>
            <w:vAlign w:val="center"/>
          </w:tcPr>
          <w:p>
            <w:pPr>
              <w:keepNext w:val="0"/>
              <w:keepLines w:val="0"/>
              <w:widowControl/>
              <w:suppressLineNumbers w:val="0"/>
              <w:jc w:val="right"/>
              <w:textAlignment w:val="center"/>
              <w:rPr>
                <w:color w:val="000000"/>
                <w:sz w:val="22"/>
              </w:rPr>
            </w:pPr>
            <w:r>
              <w:rPr>
                <w:rFonts w:hint="default" w:ascii="Times New Roman" w:hAnsi="Times New Roman" w:eastAsia="宋体" w:cs="Times New Roman"/>
                <w:i w:val="0"/>
                <w:iCs w:val="0"/>
                <w:color w:val="000000"/>
                <w:kern w:val="0"/>
                <w:sz w:val="22"/>
                <w:szCs w:val="22"/>
                <w:u w:val="none"/>
                <w:lang w:val="en-US" w:eastAsia="zh-CN" w:bidi="ar"/>
              </w:rPr>
              <w:t>20,418</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3a</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资本公积</w:t>
            </w:r>
          </w:p>
        </w:tc>
        <w:tc>
          <w:tcPr>
            <w:tcW w:w="1048" w:type="pct"/>
            <w:noWrap/>
            <w:vAlign w:val="center"/>
          </w:tcPr>
          <w:p>
            <w:pPr>
              <w:keepNext w:val="0"/>
              <w:keepLines w:val="0"/>
              <w:widowControl/>
              <w:suppressLineNumbers w:val="0"/>
              <w:jc w:val="right"/>
              <w:textAlignment w:val="center"/>
              <w:rPr>
                <w:color w:val="000000"/>
                <w:sz w:val="22"/>
              </w:rPr>
            </w:pPr>
            <w:r>
              <w:rPr>
                <w:rFonts w:hint="default" w:ascii="Times New Roman" w:hAnsi="Times New Roman" w:eastAsia="宋体" w:cs="Times New Roman"/>
                <w:i w:val="0"/>
                <w:iCs w:val="0"/>
                <w:color w:val="000000"/>
                <w:kern w:val="0"/>
                <w:sz w:val="22"/>
                <w:szCs w:val="22"/>
                <w:u w:val="none"/>
                <w:lang w:val="en-US" w:eastAsia="zh-CN" w:bidi="ar"/>
              </w:rPr>
              <w:t>19,969</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3b</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其他</w:t>
            </w:r>
          </w:p>
        </w:tc>
        <w:tc>
          <w:tcPr>
            <w:tcW w:w="1048" w:type="pct"/>
            <w:noWrap/>
            <w:vAlign w:val="center"/>
          </w:tcPr>
          <w:p>
            <w:pPr>
              <w:keepNext w:val="0"/>
              <w:keepLines w:val="0"/>
              <w:widowControl/>
              <w:suppressLineNumbers w:val="0"/>
              <w:jc w:val="right"/>
              <w:textAlignment w:val="center"/>
              <w:rPr>
                <w:color w:val="000000"/>
                <w:sz w:val="22"/>
              </w:rPr>
            </w:pPr>
            <w:r>
              <w:rPr>
                <w:rFonts w:hint="default" w:ascii="Times New Roman" w:hAnsi="Times New Roman" w:eastAsia="宋体" w:cs="Times New Roman"/>
                <w:i w:val="0"/>
                <w:iCs w:val="0"/>
                <w:color w:val="000000"/>
                <w:kern w:val="0"/>
                <w:sz w:val="22"/>
                <w:szCs w:val="22"/>
                <w:u w:val="none"/>
                <w:lang w:val="en-US" w:eastAsia="zh-CN" w:bidi="ar"/>
              </w:rPr>
              <w:t>450</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354" w:type="pct"/>
            <w:noWrap/>
            <w:vAlign w:val="center"/>
          </w:tcPr>
          <w:p>
            <w:pPr>
              <w:widowControl/>
              <w:rPr>
                <w:color w:val="000000"/>
                <w:kern w:val="0"/>
              </w:rPr>
            </w:pPr>
            <w:r>
              <w:rPr>
                <w:color w:val="000000"/>
                <w:kern w:val="0"/>
              </w:rPr>
              <w:t>4</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过渡期内可计入核心一级资本数额（仅适用于非股份公司，股份制公司的银行填0即可）</w:t>
            </w:r>
          </w:p>
        </w:tc>
        <w:tc>
          <w:tcPr>
            <w:tcW w:w="1048" w:type="pct"/>
            <w:noWrap/>
            <w:vAlign w:val="center"/>
          </w:tcPr>
          <w:p>
            <w:pPr>
              <w:widowControl/>
              <w:jc w:val="right"/>
              <w:textAlignment w:val="center"/>
              <w:rPr>
                <w:color w:val="000000"/>
                <w:sz w:val="22"/>
              </w:rPr>
            </w:pPr>
            <w:r>
              <w:rPr>
                <w:color w:val="000000"/>
                <w:kern w:val="0"/>
                <w:sz w:val="22"/>
              </w:rPr>
              <w:t>-</w:t>
            </w:r>
          </w:p>
        </w:tc>
        <w:tc>
          <w:tcPr>
            <w:tcW w:w="720" w:type="pct"/>
            <w:noWrap/>
            <w:vAlign w:val="center"/>
          </w:tcPr>
          <w:p>
            <w:pPr>
              <w:jc w:val="center"/>
              <w:rPr>
                <w:rFonts w:ascii="宋体" w:hAnsi="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5</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少数股东资本可计入部分</w:t>
            </w:r>
          </w:p>
        </w:tc>
        <w:tc>
          <w:tcPr>
            <w:tcW w:w="1048" w:type="pct"/>
            <w:noWrap/>
            <w:vAlign w:val="center"/>
          </w:tcPr>
          <w:p>
            <w:pPr>
              <w:keepNext w:val="0"/>
              <w:keepLines w:val="0"/>
              <w:widowControl/>
              <w:suppressLineNumbers w:val="0"/>
              <w:jc w:val="right"/>
              <w:textAlignment w:val="center"/>
              <w:rPr>
                <w:color w:val="000000"/>
                <w:sz w:val="22"/>
              </w:rPr>
            </w:pPr>
            <w:r>
              <w:rPr>
                <w:rFonts w:hint="default" w:ascii="Times New Roman" w:hAnsi="Times New Roman" w:eastAsia="宋体" w:cs="Times New Roman"/>
                <w:i w:val="0"/>
                <w:iCs w:val="0"/>
                <w:color w:val="000000"/>
                <w:kern w:val="0"/>
                <w:sz w:val="22"/>
                <w:szCs w:val="22"/>
                <w:u w:val="none"/>
                <w:lang w:val="en-US" w:eastAsia="zh-CN" w:bidi="ar"/>
              </w:rPr>
              <w:t>133</w:t>
            </w:r>
          </w:p>
        </w:tc>
        <w:tc>
          <w:tcPr>
            <w:tcW w:w="720" w:type="pct"/>
            <w:noWrap/>
            <w:vAlign w:val="center"/>
          </w:tcPr>
          <w:p>
            <w:pPr>
              <w:jc w:val="center"/>
              <w:rPr>
                <w:rFonts w:ascii="宋体" w:hAnsi="宋体" w:cs="宋体"/>
                <w:color w:val="000000"/>
                <w:sz w:val="22"/>
              </w:rPr>
            </w:pPr>
            <w:r>
              <w:rPr>
                <w:rFonts w:hint="eastAsia"/>
                <w:color w:val="000000"/>
                <w:sz w:val="22"/>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6</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监管调整前的核心一级资本</w:t>
            </w:r>
          </w:p>
        </w:tc>
        <w:tc>
          <w:tcPr>
            <w:tcW w:w="1048" w:type="pct"/>
            <w:noWrap/>
            <w:vAlign w:val="center"/>
          </w:tcPr>
          <w:p>
            <w:pPr>
              <w:keepNext w:val="0"/>
              <w:keepLines w:val="0"/>
              <w:widowControl/>
              <w:suppressLineNumbers w:val="0"/>
              <w:jc w:val="right"/>
              <w:textAlignment w:val="center"/>
              <w:rPr>
                <w:color w:val="000000"/>
                <w:sz w:val="22"/>
              </w:rPr>
            </w:pPr>
            <w:r>
              <w:rPr>
                <w:rFonts w:hint="default" w:ascii="Times New Roman" w:hAnsi="Times New Roman" w:eastAsia="宋体" w:cs="Times New Roman"/>
                <w:i w:val="0"/>
                <w:iCs w:val="0"/>
                <w:color w:val="000000"/>
                <w:kern w:val="0"/>
                <w:sz w:val="22"/>
                <w:szCs w:val="22"/>
                <w:u w:val="none"/>
                <w:lang w:val="en-US" w:eastAsia="zh-CN" w:bidi="ar"/>
              </w:rPr>
              <w:t>187,904</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231" w:type="pct"/>
            <w:gridSpan w:val="2"/>
            <w:noWrap/>
            <w:vAlign w:val="center"/>
          </w:tcPr>
          <w:p>
            <w:pPr>
              <w:widowControl/>
              <w:jc w:val="left"/>
              <w:rPr>
                <w:color w:val="000000"/>
                <w:kern w:val="0"/>
              </w:rPr>
            </w:pPr>
            <w:r>
              <w:rPr>
                <w:rFonts w:hint="eastAsia" w:ascii="华文楷体" w:hAnsi="华文楷体" w:eastAsia="华文楷体"/>
                <w:color w:val="000000"/>
                <w:kern w:val="0"/>
              </w:rPr>
              <w:t>核</w:t>
            </w:r>
            <w:r>
              <w:rPr>
                <w:rFonts w:hint="eastAsia" w:ascii="华文楷体" w:hAnsi="华文楷体" w:eastAsia="华文楷体"/>
                <w:color w:val="000000"/>
                <w:kern w:val="0"/>
                <w:lang w:eastAsia="zh-CN"/>
              </w:rPr>
              <w:t>心</w:t>
            </w:r>
            <w:r>
              <w:rPr>
                <w:rFonts w:hint="eastAsia" w:ascii="华文楷体" w:hAnsi="华文楷体" w:eastAsia="华文楷体"/>
                <w:color w:val="000000"/>
                <w:kern w:val="0"/>
              </w:rPr>
              <w:t>一级资本：监管调整</w:t>
            </w:r>
          </w:p>
        </w:tc>
        <w:tc>
          <w:tcPr>
            <w:tcW w:w="1048" w:type="pct"/>
            <w:noWrap/>
            <w:vAlign w:val="center"/>
          </w:tcPr>
          <w:p>
            <w:pPr>
              <w:widowControl/>
              <w:jc w:val="right"/>
              <w:rPr>
                <w:rFonts w:ascii="宋体" w:hAnsi="宋体" w:cs="宋体"/>
                <w:color w:val="000000"/>
                <w:kern w:val="0"/>
              </w:rPr>
            </w:pPr>
            <w:r>
              <w:rPr>
                <w:rFonts w:hint="eastAsia" w:ascii="宋体" w:hAnsi="宋体" w:cs="宋体"/>
                <w:color w:val="000000"/>
                <w:kern w:val="0"/>
              </w:rPr>
              <w:t>　</w:t>
            </w:r>
          </w:p>
        </w:tc>
        <w:tc>
          <w:tcPr>
            <w:tcW w:w="720" w:type="pct"/>
            <w:noWrap/>
            <w:vAlign w:val="center"/>
          </w:tcPr>
          <w:p>
            <w:pPr>
              <w:jc w:val="right"/>
              <w:rPr>
                <w:rFonts w:ascii="宋体" w:hAnsi="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7</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审慎估值调整</w:t>
            </w:r>
          </w:p>
        </w:tc>
        <w:tc>
          <w:tcPr>
            <w:tcW w:w="1048" w:type="pct"/>
            <w:noWrap/>
            <w:vAlign w:val="center"/>
          </w:tcPr>
          <w:p>
            <w:pPr>
              <w:widowControl/>
              <w:jc w:val="right"/>
              <w:textAlignment w:val="center"/>
              <w:rPr>
                <w:color w:val="000000"/>
                <w:kern w:val="0"/>
                <w:sz w:val="22"/>
              </w:rPr>
            </w:pPr>
            <w:r>
              <w:rPr>
                <w:color w:val="000000"/>
                <w:kern w:val="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8</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商誉(扣除递延税负债)</w:t>
            </w:r>
          </w:p>
        </w:tc>
        <w:tc>
          <w:tcPr>
            <w:tcW w:w="1048" w:type="pct"/>
            <w:noWrap/>
            <w:vAlign w:val="center"/>
          </w:tcPr>
          <w:p>
            <w:pPr>
              <w:widowControl/>
              <w:jc w:val="right"/>
              <w:textAlignment w:val="center"/>
              <w:rPr>
                <w:color w:val="000000"/>
                <w:sz w:val="22"/>
              </w:rPr>
            </w:pPr>
            <w:r>
              <w:rPr>
                <w:color w:val="000000"/>
                <w:kern w:val="0"/>
                <w:sz w:val="22"/>
              </w:rPr>
              <w:t>2</w:t>
            </w:r>
          </w:p>
        </w:tc>
        <w:tc>
          <w:tcPr>
            <w:tcW w:w="720" w:type="pct"/>
            <w:noWrap/>
            <w:vAlign w:val="center"/>
          </w:tcPr>
          <w:p>
            <w:pPr>
              <w:jc w:val="center"/>
              <w:rPr>
                <w:color w:val="000000"/>
                <w:sz w:val="22"/>
              </w:rPr>
            </w:pPr>
            <w:r>
              <w:rPr>
                <w:color w:val="000000"/>
                <w:sz w:val="2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9</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其他无形资产(土地使用权除外)(扣除递延税负债)</w:t>
            </w:r>
          </w:p>
        </w:tc>
        <w:tc>
          <w:tcPr>
            <w:tcW w:w="1048" w:type="pct"/>
            <w:noWrap/>
            <w:vAlign w:val="center"/>
          </w:tcPr>
          <w:p>
            <w:pPr>
              <w:widowControl/>
              <w:jc w:val="right"/>
              <w:textAlignment w:val="center"/>
              <w:rPr>
                <w:color w:val="000000"/>
                <w:sz w:val="22"/>
              </w:rPr>
            </w:pPr>
            <w:r>
              <w:rPr>
                <w:color w:val="000000"/>
                <w:kern w:val="0"/>
                <w:sz w:val="22"/>
              </w:rPr>
              <w:t>997</w:t>
            </w:r>
          </w:p>
        </w:tc>
        <w:tc>
          <w:tcPr>
            <w:tcW w:w="720" w:type="pct"/>
            <w:noWrap/>
            <w:vAlign w:val="center"/>
          </w:tcPr>
          <w:p>
            <w:pPr>
              <w:jc w:val="center"/>
              <w:rPr>
                <w:color w:val="000000"/>
                <w:sz w:val="22"/>
              </w:rPr>
            </w:pPr>
            <w:r>
              <w:rPr>
                <w:color w:val="000000"/>
                <w:sz w:val="22"/>
              </w:rPr>
              <w:t>b-c-d-f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10</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依赖未来盈利的由经营亏损引起的净递延税资产</w:t>
            </w:r>
          </w:p>
        </w:tc>
        <w:tc>
          <w:tcPr>
            <w:tcW w:w="1048" w:type="pct"/>
            <w:noWrap/>
            <w:vAlign w:val="center"/>
          </w:tcPr>
          <w:p>
            <w:pPr>
              <w:widowControl/>
              <w:jc w:val="right"/>
              <w:textAlignment w:val="center"/>
              <w:rPr>
                <w:color w:val="000000"/>
                <w:sz w:val="22"/>
              </w:rPr>
            </w:pPr>
            <w:r>
              <w:rPr>
                <w:color w:val="000000"/>
                <w:kern w:val="0"/>
                <w:sz w:val="22"/>
              </w:rPr>
              <w:t>2</w:t>
            </w:r>
          </w:p>
        </w:tc>
        <w:tc>
          <w:tcPr>
            <w:tcW w:w="720" w:type="pct"/>
            <w:noWrap/>
            <w:vAlign w:val="center"/>
          </w:tcPr>
          <w:p>
            <w:pPr>
              <w:jc w:val="center"/>
              <w:rPr>
                <w:color w:val="000000"/>
                <w:sz w:val="22"/>
              </w:rPr>
            </w:pPr>
            <w:r>
              <w:rPr>
                <w:color w:val="000000"/>
                <w:sz w:val="22"/>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11</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对未按公允价值计量的项目进行现金流套期形成的储备</w:t>
            </w:r>
          </w:p>
        </w:tc>
        <w:tc>
          <w:tcPr>
            <w:tcW w:w="1048" w:type="pct"/>
            <w:noWrap/>
            <w:vAlign w:val="center"/>
          </w:tcPr>
          <w:p>
            <w:pPr>
              <w:widowControl/>
              <w:jc w:val="right"/>
              <w:textAlignment w:val="center"/>
              <w:rPr>
                <w:color w:val="000000"/>
                <w:sz w:val="22"/>
              </w:rPr>
            </w:pPr>
            <w:r>
              <w:rPr>
                <w:color w:val="000000"/>
                <w:kern w:val="0"/>
                <w:sz w:val="22"/>
              </w:rPr>
              <w:t>0</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12</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贷款损失准备缺口</w:t>
            </w:r>
          </w:p>
        </w:tc>
        <w:tc>
          <w:tcPr>
            <w:tcW w:w="1048" w:type="pct"/>
            <w:noWrap/>
            <w:vAlign w:val="center"/>
          </w:tcPr>
          <w:p>
            <w:pPr>
              <w:widowControl/>
              <w:jc w:val="right"/>
              <w:textAlignment w:val="center"/>
              <w:rPr>
                <w:color w:val="000000"/>
                <w:sz w:val="22"/>
              </w:rPr>
            </w:pPr>
            <w:r>
              <w:rPr>
                <w:color w:val="000000"/>
                <w:kern w:val="0"/>
                <w:sz w:val="22"/>
              </w:rPr>
              <w:t>0</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13</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资产证券化销售利得</w:t>
            </w:r>
          </w:p>
        </w:tc>
        <w:tc>
          <w:tcPr>
            <w:tcW w:w="1048" w:type="pct"/>
            <w:noWrap/>
            <w:vAlign w:val="center"/>
          </w:tcPr>
          <w:p>
            <w:pPr>
              <w:widowControl/>
              <w:jc w:val="right"/>
              <w:textAlignment w:val="center"/>
              <w:rPr>
                <w:color w:val="000000"/>
                <w:sz w:val="22"/>
              </w:rPr>
            </w:pPr>
            <w:r>
              <w:rPr>
                <w:color w:val="000000"/>
                <w:kern w:val="0"/>
                <w:sz w:val="22"/>
              </w:rPr>
              <w:t>0</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14</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自身信用风险变化导致其负债公允价值变化带来的未实现损益</w:t>
            </w:r>
          </w:p>
        </w:tc>
        <w:tc>
          <w:tcPr>
            <w:tcW w:w="1048" w:type="pct"/>
            <w:noWrap/>
            <w:vAlign w:val="center"/>
          </w:tcPr>
          <w:p>
            <w:pPr>
              <w:widowControl/>
              <w:jc w:val="right"/>
              <w:textAlignment w:val="center"/>
              <w:rPr>
                <w:color w:val="000000"/>
                <w:sz w:val="22"/>
              </w:rPr>
            </w:pPr>
            <w:r>
              <w:rPr>
                <w:color w:val="000000"/>
                <w:kern w:val="0"/>
                <w:sz w:val="22"/>
              </w:rPr>
              <w:t>0</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15</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确定受益类的养老金资产净额(扣除递延税项负债)</w:t>
            </w:r>
          </w:p>
        </w:tc>
        <w:tc>
          <w:tcPr>
            <w:tcW w:w="1048" w:type="pct"/>
            <w:noWrap/>
            <w:vAlign w:val="center"/>
          </w:tcPr>
          <w:p>
            <w:pPr>
              <w:widowControl/>
              <w:jc w:val="right"/>
              <w:textAlignment w:val="center"/>
              <w:rPr>
                <w:color w:val="000000"/>
                <w:sz w:val="22"/>
              </w:rPr>
            </w:pPr>
            <w:r>
              <w:rPr>
                <w:color w:val="000000"/>
                <w:kern w:val="0"/>
                <w:sz w:val="22"/>
              </w:rPr>
              <w:t>0</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16</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直接或间接持有本银行的普通股</w:t>
            </w:r>
          </w:p>
        </w:tc>
        <w:tc>
          <w:tcPr>
            <w:tcW w:w="1048" w:type="pct"/>
            <w:noWrap/>
            <w:vAlign w:val="center"/>
          </w:tcPr>
          <w:p>
            <w:pPr>
              <w:widowControl/>
              <w:jc w:val="right"/>
              <w:textAlignment w:val="center"/>
              <w:rPr>
                <w:color w:val="000000"/>
                <w:sz w:val="22"/>
              </w:rPr>
            </w:pPr>
            <w:r>
              <w:rPr>
                <w:color w:val="000000"/>
                <w:kern w:val="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17</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银行间或银行与其他金融机构间通过协议相互持有的核心一级资本</w:t>
            </w:r>
          </w:p>
        </w:tc>
        <w:tc>
          <w:tcPr>
            <w:tcW w:w="1048" w:type="pct"/>
            <w:noWrap/>
            <w:vAlign w:val="center"/>
          </w:tcPr>
          <w:p>
            <w:pPr>
              <w:widowControl/>
              <w:jc w:val="right"/>
              <w:textAlignment w:val="center"/>
              <w:rPr>
                <w:color w:val="000000"/>
                <w:sz w:val="22"/>
              </w:rPr>
            </w:pPr>
            <w:r>
              <w:rPr>
                <w:color w:val="000000"/>
                <w:kern w:val="0"/>
                <w:sz w:val="22"/>
              </w:rPr>
              <w:t>-</w:t>
            </w:r>
          </w:p>
        </w:tc>
        <w:tc>
          <w:tcPr>
            <w:tcW w:w="720" w:type="pct"/>
            <w:noWrap/>
            <w:vAlign w:val="center"/>
          </w:tcPr>
          <w:p>
            <w:pPr>
              <w:jc w:val="center"/>
              <w:rPr>
                <w:rFonts w:ascii="宋体" w:hAnsi="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18</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对未并表金融机构小额少数资本投资中的核心一级资本中应扣除金额</w:t>
            </w:r>
          </w:p>
        </w:tc>
        <w:tc>
          <w:tcPr>
            <w:tcW w:w="1048" w:type="pct"/>
            <w:noWrap/>
            <w:vAlign w:val="center"/>
          </w:tcPr>
          <w:p>
            <w:pPr>
              <w:widowControl/>
              <w:jc w:val="right"/>
              <w:textAlignment w:val="center"/>
              <w:rPr>
                <w:color w:val="000000"/>
                <w:sz w:val="22"/>
              </w:rPr>
            </w:pPr>
            <w:r>
              <w:rPr>
                <w:color w:val="000000"/>
                <w:kern w:val="0"/>
                <w:sz w:val="22"/>
              </w:rPr>
              <w:t>-</w:t>
            </w:r>
          </w:p>
        </w:tc>
        <w:tc>
          <w:tcPr>
            <w:tcW w:w="720" w:type="pct"/>
            <w:noWrap/>
            <w:vAlign w:val="center"/>
          </w:tcPr>
          <w:p>
            <w:pPr>
              <w:jc w:val="center"/>
              <w:rPr>
                <w:rFonts w:ascii="宋体" w:hAnsi="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19</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对未并表金融机构大额少数资本投资中的核心一级资本中应扣除金额</w:t>
            </w:r>
          </w:p>
        </w:tc>
        <w:tc>
          <w:tcPr>
            <w:tcW w:w="1048" w:type="pct"/>
            <w:noWrap/>
            <w:vAlign w:val="center"/>
          </w:tcPr>
          <w:p>
            <w:pPr>
              <w:widowControl/>
              <w:jc w:val="right"/>
              <w:textAlignment w:val="center"/>
              <w:rPr>
                <w:color w:val="000000"/>
                <w:sz w:val="22"/>
              </w:rPr>
            </w:pPr>
            <w:r>
              <w:rPr>
                <w:color w:val="000000"/>
                <w:kern w:val="0"/>
                <w:sz w:val="22"/>
              </w:rPr>
              <w:t>-</w:t>
            </w:r>
          </w:p>
        </w:tc>
        <w:tc>
          <w:tcPr>
            <w:tcW w:w="720" w:type="pct"/>
            <w:noWrap/>
            <w:vAlign w:val="center"/>
          </w:tcPr>
          <w:p>
            <w:pPr>
              <w:jc w:val="center"/>
              <w:rPr>
                <w:rFonts w:ascii="宋体" w:hAnsi="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354" w:type="pct"/>
            <w:noWrap/>
            <w:vAlign w:val="center"/>
          </w:tcPr>
          <w:p>
            <w:pPr>
              <w:widowControl/>
              <w:rPr>
                <w:color w:val="000000"/>
                <w:kern w:val="0"/>
              </w:rPr>
            </w:pPr>
            <w:r>
              <w:rPr>
                <w:color w:val="000000"/>
                <w:kern w:val="0"/>
              </w:rPr>
              <w:t>20</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抵押贷款服务权</w:t>
            </w:r>
          </w:p>
        </w:tc>
        <w:tc>
          <w:tcPr>
            <w:tcW w:w="1048" w:type="pct"/>
            <w:noWrap/>
            <w:vAlign w:val="center"/>
          </w:tcPr>
          <w:p>
            <w:pPr>
              <w:widowControl/>
              <w:jc w:val="right"/>
              <w:textAlignment w:val="center"/>
              <w:rPr>
                <w:rFonts w:ascii="华文楷体" w:hAnsi="华文楷体" w:eastAsia="华文楷体" w:cs="宋体"/>
                <w:color w:val="000000"/>
                <w:sz w:val="22"/>
              </w:rPr>
            </w:pPr>
            <w:r>
              <w:rPr>
                <w:rFonts w:hint="eastAsia" w:ascii="华文楷体" w:hAnsi="华文楷体" w:eastAsia="华文楷体" w:cs="华文楷体"/>
                <w:color w:val="000000"/>
                <w:kern w:val="0"/>
                <w:sz w:val="22"/>
              </w:rPr>
              <w:t>不适用</w:t>
            </w:r>
          </w:p>
        </w:tc>
        <w:tc>
          <w:tcPr>
            <w:tcW w:w="720" w:type="pct"/>
            <w:noWrap/>
            <w:vAlign w:val="center"/>
          </w:tcPr>
          <w:p>
            <w:pPr>
              <w:jc w:val="center"/>
              <w:rPr>
                <w:rFonts w:ascii="华文楷体" w:hAnsi="华文楷体" w:eastAsia="华文楷体"/>
                <w:color w:val="000000"/>
                <w:sz w:val="22"/>
              </w:rPr>
            </w:pPr>
            <w:r>
              <w:rPr>
                <w:rFonts w:hint="eastAsia" w:ascii="华文楷体" w:hAnsi="华文楷体" w:eastAsia="华文楷体"/>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21</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其他依赖于银行未来盈利的净递延税资产中应扣除金额</w:t>
            </w:r>
          </w:p>
        </w:tc>
        <w:tc>
          <w:tcPr>
            <w:tcW w:w="1048" w:type="pct"/>
            <w:noWrap/>
            <w:vAlign w:val="center"/>
          </w:tcPr>
          <w:p>
            <w:pPr>
              <w:widowControl/>
              <w:jc w:val="right"/>
              <w:textAlignment w:val="center"/>
              <w:rPr>
                <w:sz w:val="20"/>
                <w:szCs w:val="20"/>
              </w:rPr>
            </w:pPr>
            <w:r>
              <w:rPr>
                <w:color w:val="000000"/>
                <w:kern w:val="0"/>
                <w:sz w:val="22"/>
              </w:rPr>
              <w:t>3,776</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354" w:type="pct"/>
            <w:noWrap/>
            <w:vAlign w:val="center"/>
          </w:tcPr>
          <w:p>
            <w:pPr>
              <w:widowControl/>
              <w:rPr>
                <w:color w:val="000000"/>
                <w:kern w:val="0"/>
              </w:rPr>
            </w:pPr>
            <w:r>
              <w:rPr>
                <w:color w:val="000000"/>
                <w:kern w:val="0"/>
              </w:rPr>
              <w:t>22</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对未并表金融机构大额少数资本投资中的核心一级资本和其他依赖于银行未来盈利的净递延税资产的未扣除部分超过核心一级资本15%的应扣除金额</w:t>
            </w:r>
          </w:p>
        </w:tc>
        <w:tc>
          <w:tcPr>
            <w:tcW w:w="1048" w:type="pct"/>
            <w:noWrap/>
            <w:vAlign w:val="center"/>
          </w:tcPr>
          <w:p>
            <w:pPr>
              <w:widowControl/>
              <w:jc w:val="right"/>
              <w:textAlignment w:val="center"/>
              <w:rPr>
                <w:sz w:val="20"/>
                <w:szCs w:val="20"/>
              </w:rPr>
            </w:pPr>
            <w:r>
              <w:rPr>
                <w:color w:val="000000"/>
                <w:kern w:val="0"/>
                <w:sz w:val="22"/>
              </w:rPr>
              <w:t>0</w:t>
            </w:r>
          </w:p>
        </w:tc>
        <w:tc>
          <w:tcPr>
            <w:tcW w:w="720" w:type="pct"/>
            <w:noWrap/>
            <w:vAlign w:val="center"/>
          </w:tcPr>
          <w:p>
            <w:pPr>
              <w:jc w:val="center"/>
              <w:rPr>
                <w:rFonts w:ascii="宋体" w:hAnsi="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23</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其中：应在对金融机构大额少数资本投资中扣除的金额</w:t>
            </w:r>
          </w:p>
        </w:tc>
        <w:tc>
          <w:tcPr>
            <w:tcW w:w="1048" w:type="pct"/>
            <w:noWrap/>
            <w:vAlign w:val="center"/>
          </w:tcPr>
          <w:p>
            <w:pPr>
              <w:widowControl/>
              <w:jc w:val="right"/>
              <w:textAlignment w:val="center"/>
              <w:rPr>
                <w:sz w:val="20"/>
                <w:szCs w:val="20"/>
              </w:rPr>
            </w:pPr>
            <w:r>
              <w:rPr>
                <w:color w:val="000000"/>
                <w:kern w:val="0"/>
                <w:sz w:val="22"/>
              </w:rPr>
              <w:t>0</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24</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其中：抵押贷款服务权应扣除的金额</w:t>
            </w:r>
          </w:p>
        </w:tc>
        <w:tc>
          <w:tcPr>
            <w:tcW w:w="1048" w:type="pct"/>
            <w:noWrap/>
            <w:vAlign w:val="center"/>
          </w:tcPr>
          <w:p>
            <w:pPr>
              <w:widowControl/>
              <w:jc w:val="right"/>
              <w:textAlignment w:val="center"/>
              <w:rPr>
                <w:rFonts w:ascii="华文楷体" w:hAnsi="华文楷体" w:eastAsia="华文楷体" w:cs="宋体"/>
                <w:color w:val="000000"/>
                <w:sz w:val="22"/>
              </w:rPr>
            </w:pPr>
            <w:r>
              <w:rPr>
                <w:rFonts w:hint="eastAsia" w:ascii="华文楷体" w:hAnsi="华文楷体" w:eastAsia="华文楷体" w:cs="华文楷体"/>
                <w:color w:val="000000"/>
                <w:kern w:val="0"/>
                <w:sz w:val="22"/>
              </w:rPr>
              <w:t>不适用</w:t>
            </w:r>
          </w:p>
        </w:tc>
        <w:tc>
          <w:tcPr>
            <w:tcW w:w="720" w:type="pct"/>
            <w:noWrap/>
            <w:vAlign w:val="center"/>
          </w:tcPr>
          <w:p>
            <w:pPr>
              <w:jc w:val="center"/>
              <w:rPr>
                <w:rFonts w:ascii="华文楷体" w:hAnsi="华文楷体" w:eastAsia="华文楷体"/>
                <w:color w:val="000000"/>
                <w:sz w:val="22"/>
              </w:rPr>
            </w:pPr>
            <w:r>
              <w:rPr>
                <w:rFonts w:hint="eastAsia" w:ascii="华文楷体" w:hAnsi="华文楷体" w:eastAsia="华文楷体"/>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25</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其中：应在其他依赖于银行未来盈利的净递延税资产中扣除的金额</w:t>
            </w:r>
          </w:p>
        </w:tc>
        <w:tc>
          <w:tcPr>
            <w:tcW w:w="1048" w:type="pct"/>
            <w:noWrap/>
            <w:vAlign w:val="center"/>
          </w:tcPr>
          <w:p>
            <w:pPr>
              <w:widowControl/>
              <w:jc w:val="right"/>
              <w:textAlignment w:val="center"/>
              <w:rPr>
                <w:sz w:val="20"/>
                <w:szCs w:val="20"/>
              </w:rPr>
            </w:pPr>
            <w:r>
              <w:rPr>
                <w:color w:val="000000"/>
                <w:kern w:val="0"/>
                <w:sz w:val="22"/>
              </w:rPr>
              <w:t>0</w:t>
            </w:r>
          </w:p>
        </w:tc>
        <w:tc>
          <w:tcPr>
            <w:tcW w:w="720" w:type="pct"/>
            <w:noWrap/>
            <w:vAlign w:val="center"/>
          </w:tcPr>
          <w:p>
            <w:pPr>
              <w:jc w:val="center"/>
              <w:rPr>
                <w:rFonts w:ascii="宋体" w:hAnsi="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26a</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对有控制权但不并表的金融机构的核心一级资本投资</w:t>
            </w:r>
          </w:p>
        </w:tc>
        <w:tc>
          <w:tcPr>
            <w:tcW w:w="1048" w:type="pct"/>
            <w:noWrap/>
            <w:vAlign w:val="center"/>
          </w:tcPr>
          <w:p>
            <w:pPr>
              <w:widowControl/>
              <w:jc w:val="right"/>
              <w:textAlignment w:val="center"/>
              <w:rPr>
                <w:sz w:val="20"/>
                <w:szCs w:val="20"/>
              </w:rPr>
            </w:pPr>
            <w:r>
              <w:rPr>
                <w:color w:val="000000"/>
                <w:kern w:val="0"/>
                <w:sz w:val="22"/>
              </w:rPr>
              <w:t>0</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26b</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对有控制权但不并表的金融机构的核心一级资本缺口</w:t>
            </w:r>
          </w:p>
        </w:tc>
        <w:tc>
          <w:tcPr>
            <w:tcW w:w="1048" w:type="pct"/>
            <w:noWrap/>
            <w:vAlign w:val="center"/>
          </w:tcPr>
          <w:p>
            <w:pPr>
              <w:widowControl/>
              <w:jc w:val="right"/>
              <w:textAlignment w:val="center"/>
              <w:rPr>
                <w:sz w:val="20"/>
                <w:szCs w:val="20"/>
              </w:rPr>
            </w:pPr>
            <w:r>
              <w:rPr>
                <w:color w:val="000000"/>
                <w:kern w:val="0"/>
                <w:sz w:val="22"/>
              </w:rPr>
              <w:t>0</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26c</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其他应在核心一级资本中扣除的项目合计</w:t>
            </w:r>
          </w:p>
        </w:tc>
        <w:tc>
          <w:tcPr>
            <w:tcW w:w="1048" w:type="pct"/>
            <w:noWrap/>
            <w:vAlign w:val="center"/>
          </w:tcPr>
          <w:p>
            <w:pPr>
              <w:widowControl/>
              <w:jc w:val="right"/>
              <w:textAlignment w:val="center"/>
              <w:rPr>
                <w:sz w:val="20"/>
                <w:szCs w:val="20"/>
              </w:rPr>
            </w:pPr>
            <w:r>
              <w:rPr>
                <w:color w:val="000000"/>
                <w:kern w:val="0"/>
                <w:sz w:val="22"/>
              </w:rPr>
              <w:t>0</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354" w:type="pct"/>
            <w:noWrap/>
            <w:vAlign w:val="center"/>
          </w:tcPr>
          <w:p>
            <w:pPr>
              <w:widowControl/>
              <w:rPr>
                <w:color w:val="000000"/>
                <w:kern w:val="0"/>
              </w:rPr>
            </w:pPr>
            <w:r>
              <w:rPr>
                <w:color w:val="000000"/>
                <w:kern w:val="0"/>
              </w:rPr>
              <w:t>27</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应从其他一级资本和二级资本中扣除的未扣缺口</w:t>
            </w:r>
          </w:p>
        </w:tc>
        <w:tc>
          <w:tcPr>
            <w:tcW w:w="1048" w:type="pct"/>
            <w:noWrap/>
            <w:vAlign w:val="center"/>
          </w:tcPr>
          <w:p>
            <w:pPr>
              <w:widowControl/>
              <w:jc w:val="right"/>
              <w:textAlignment w:val="center"/>
              <w:rPr>
                <w:sz w:val="20"/>
                <w:szCs w:val="20"/>
              </w:rPr>
            </w:pPr>
            <w:r>
              <w:rPr>
                <w:color w:val="000000"/>
                <w:kern w:val="0"/>
                <w:sz w:val="22"/>
              </w:rPr>
              <w:t>0</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b/>
                <w:bCs/>
                <w:color w:val="000000"/>
                <w:kern w:val="0"/>
              </w:rPr>
            </w:pPr>
            <w:r>
              <w:rPr>
                <w:b/>
                <w:bCs/>
                <w:color w:val="000000"/>
                <w:kern w:val="0"/>
              </w:rPr>
              <w:t>28</w:t>
            </w:r>
          </w:p>
        </w:tc>
        <w:tc>
          <w:tcPr>
            <w:tcW w:w="2877" w:type="pct"/>
            <w:noWrap w:val="0"/>
            <w:vAlign w:val="center"/>
          </w:tcPr>
          <w:p>
            <w:pPr>
              <w:widowControl/>
              <w:rPr>
                <w:rFonts w:ascii="华文楷体" w:hAnsi="华文楷体" w:eastAsia="华文楷体" w:cs="宋体"/>
                <w:b/>
                <w:bCs/>
                <w:color w:val="000000"/>
                <w:kern w:val="0"/>
              </w:rPr>
            </w:pPr>
            <w:r>
              <w:rPr>
                <w:rFonts w:hint="eastAsia" w:ascii="华文楷体" w:hAnsi="华文楷体" w:eastAsia="华文楷体" w:cs="宋体"/>
                <w:b/>
                <w:bCs/>
                <w:color w:val="000000"/>
                <w:kern w:val="0"/>
              </w:rPr>
              <w:t>核心一级资本监管调整总和</w:t>
            </w:r>
          </w:p>
        </w:tc>
        <w:tc>
          <w:tcPr>
            <w:tcW w:w="1048" w:type="pct"/>
            <w:noWrap/>
            <w:vAlign w:val="center"/>
          </w:tcPr>
          <w:p>
            <w:pPr>
              <w:widowControl/>
              <w:jc w:val="right"/>
              <w:textAlignment w:val="center"/>
              <w:rPr>
                <w:color w:val="000000"/>
                <w:kern w:val="0"/>
                <w:sz w:val="22"/>
              </w:rPr>
            </w:pPr>
            <w:r>
              <w:rPr>
                <w:color w:val="000000"/>
                <w:kern w:val="0"/>
                <w:sz w:val="22"/>
              </w:rPr>
              <w:t>4,776</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b/>
                <w:bCs/>
                <w:color w:val="000000"/>
                <w:kern w:val="0"/>
              </w:rPr>
            </w:pPr>
            <w:r>
              <w:rPr>
                <w:b/>
                <w:bCs/>
                <w:color w:val="000000"/>
                <w:kern w:val="0"/>
              </w:rPr>
              <w:t>29</w:t>
            </w:r>
          </w:p>
        </w:tc>
        <w:tc>
          <w:tcPr>
            <w:tcW w:w="2877" w:type="pct"/>
            <w:noWrap w:val="0"/>
            <w:vAlign w:val="center"/>
          </w:tcPr>
          <w:p>
            <w:pPr>
              <w:widowControl/>
              <w:rPr>
                <w:rFonts w:ascii="华文楷体" w:hAnsi="华文楷体" w:eastAsia="华文楷体" w:cs="宋体"/>
                <w:b/>
                <w:bCs/>
                <w:color w:val="000000"/>
                <w:kern w:val="0"/>
              </w:rPr>
            </w:pPr>
            <w:r>
              <w:rPr>
                <w:rFonts w:hint="eastAsia" w:ascii="华文楷体" w:hAnsi="华文楷体" w:eastAsia="华文楷体" w:cs="宋体"/>
                <w:b/>
                <w:bCs/>
                <w:color w:val="000000"/>
                <w:kern w:val="0"/>
              </w:rPr>
              <w:t>核心一级资本</w:t>
            </w:r>
          </w:p>
        </w:tc>
        <w:tc>
          <w:tcPr>
            <w:tcW w:w="1048" w:type="pct"/>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183,128</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231" w:type="pct"/>
            <w:gridSpan w:val="2"/>
            <w:noWrap/>
            <w:vAlign w:val="center"/>
          </w:tcPr>
          <w:p>
            <w:pPr>
              <w:widowControl/>
              <w:jc w:val="left"/>
              <w:rPr>
                <w:rFonts w:ascii="华文楷体" w:hAnsi="华文楷体" w:eastAsia="华文楷体" w:cs="宋体"/>
                <w:b/>
                <w:bCs/>
                <w:color w:val="000000"/>
                <w:kern w:val="0"/>
              </w:rPr>
            </w:pPr>
            <w:r>
              <w:rPr>
                <w:rFonts w:hint="eastAsia" w:ascii="华文楷体" w:hAnsi="华文楷体" w:eastAsia="华文楷体" w:cs="宋体"/>
                <w:b/>
                <w:bCs/>
                <w:color w:val="000000"/>
                <w:kern w:val="0"/>
              </w:rPr>
              <w:t>其他一级资本：</w:t>
            </w:r>
          </w:p>
        </w:tc>
        <w:tc>
          <w:tcPr>
            <w:tcW w:w="1048" w:type="pct"/>
            <w:noWrap/>
            <w:vAlign w:val="center"/>
          </w:tcPr>
          <w:p>
            <w:pPr>
              <w:widowControl/>
              <w:jc w:val="right"/>
              <w:rPr>
                <w:rFonts w:ascii="宋体" w:hAnsi="宋体" w:cs="宋体"/>
                <w:color w:val="000000"/>
                <w:kern w:val="0"/>
              </w:rPr>
            </w:pPr>
            <w:r>
              <w:rPr>
                <w:rFonts w:hint="eastAsia" w:ascii="宋体" w:hAnsi="宋体" w:cs="宋体"/>
                <w:color w:val="000000"/>
                <w:kern w:val="0"/>
              </w:rPr>
              <w:t>　</w:t>
            </w:r>
          </w:p>
        </w:tc>
        <w:tc>
          <w:tcPr>
            <w:tcW w:w="720" w:type="pct"/>
            <w:noWrap/>
            <w:vAlign w:val="center"/>
          </w:tcPr>
          <w:p>
            <w:pPr>
              <w:jc w:val="right"/>
              <w:rPr>
                <w:rFonts w:ascii="宋体" w:hAnsi="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30</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其他一级资本工具及其溢价</w:t>
            </w:r>
          </w:p>
        </w:tc>
        <w:tc>
          <w:tcPr>
            <w:tcW w:w="1048" w:type="pct"/>
            <w:noWrap/>
            <w:vAlign w:val="center"/>
          </w:tcPr>
          <w:p>
            <w:pPr>
              <w:widowControl/>
              <w:jc w:val="right"/>
              <w:textAlignment w:val="center"/>
              <w:rPr>
                <w:color w:val="000000"/>
                <w:kern w:val="0"/>
                <w:sz w:val="22"/>
              </w:rPr>
            </w:pPr>
            <w:r>
              <w:rPr>
                <w:color w:val="000000"/>
                <w:kern w:val="0"/>
                <w:sz w:val="22"/>
              </w:rPr>
              <w:t>19,957</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31</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其中：权益部分</w:t>
            </w:r>
          </w:p>
        </w:tc>
        <w:tc>
          <w:tcPr>
            <w:tcW w:w="1048" w:type="pct"/>
            <w:noWrap/>
            <w:vAlign w:val="center"/>
          </w:tcPr>
          <w:p>
            <w:pPr>
              <w:widowControl/>
              <w:jc w:val="right"/>
              <w:textAlignment w:val="center"/>
              <w:rPr>
                <w:color w:val="000000"/>
                <w:sz w:val="22"/>
              </w:rPr>
            </w:pPr>
            <w:r>
              <w:rPr>
                <w:color w:val="000000"/>
                <w:kern w:val="0"/>
                <w:sz w:val="22"/>
              </w:rPr>
              <w:t>19,957</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32</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其中：负债部分</w:t>
            </w:r>
          </w:p>
        </w:tc>
        <w:tc>
          <w:tcPr>
            <w:tcW w:w="1048" w:type="pct"/>
            <w:noWrap/>
            <w:vAlign w:val="center"/>
          </w:tcPr>
          <w:p>
            <w:pPr>
              <w:widowControl/>
              <w:jc w:val="right"/>
              <w:textAlignment w:val="center"/>
              <w:rPr>
                <w:color w:val="000000"/>
                <w:sz w:val="22"/>
              </w:rPr>
            </w:pPr>
            <w:r>
              <w:rPr>
                <w:color w:val="000000"/>
                <w:kern w:val="0"/>
                <w:sz w:val="22"/>
              </w:rPr>
              <w:t>0</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33</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过渡期后不可计入其他一级资本的工具</w:t>
            </w:r>
          </w:p>
        </w:tc>
        <w:tc>
          <w:tcPr>
            <w:tcW w:w="1048" w:type="pct"/>
            <w:noWrap/>
            <w:vAlign w:val="center"/>
          </w:tcPr>
          <w:p>
            <w:pPr>
              <w:widowControl/>
              <w:jc w:val="right"/>
              <w:textAlignment w:val="center"/>
              <w:rPr>
                <w:color w:val="000000"/>
                <w:sz w:val="22"/>
              </w:rPr>
            </w:pPr>
            <w:r>
              <w:rPr>
                <w:color w:val="000000"/>
                <w:kern w:val="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34</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少数股东资本可计入部分</w:t>
            </w:r>
          </w:p>
        </w:tc>
        <w:tc>
          <w:tcPr>
            <w:tcW w:w="1048" w:type="pct"/>
            <w:noWrap/>
            <w:vAlign w:val="center"/>
          </w:tcPr>
          <w:p>
            <w:pPr>
              <w:widowControl/>
              <w:jc w:val="right"/>
              <w:textAlignment w:val="center"/>
              <w:rPr>
                <w:color w:val="000000"/>
                <w:sz w:val="22"/>
              </w:rPr>
            </w:pPr>
            <w:r>
              <w:rPr>
                <w:color w:val="000000"/>
                <w:kern w:val="0"/>
                <w:sz w:val="22"/>
              </w:rPr>
              <w:t>18</w:t>
            </w:r>
          </w:p>
        </w:tc>
        <w:tc>
          <w:tcPr>
            <w:tcW w:w="720" w:type="pct"/>
            <w:noWrap/>
            <w:vAlign w:val="center"/>
          </w:tcPr>
          <w:p>
            <w:pPr>
              <w:jc w:val="center"/>
              <w:rPr>
                <w:color w:val="000000"/>
                <w:sz w:val="22"/>
              </w:rPr>
            </w:pPr>
            <w:r>
              <w:rPr>
                <w:rFonts w:hint="eastAsia"/>
                <w:color w:val="000000"/>
                <w:sz w:val="22"/>
              </w:rPr>
              <w:t>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35</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其中：过渡期后不可计入其他一级资本的部分</w:t>
            </w:r>
          </w:p>
        </w:tc>
        <w:tc>
          <w:tcPr>
            <w:tcW w:w="1048" w:type="pct"/>
            <w:noWrap/>
            <w:vAlign w:val="center"/>
          </w:tcPr>
          <w:p>
            <w:pPr>
              <w:widowControl/>
              <w:jc w:val="right"/>
              <w:textAlignment w:val="center"/>
              <w:rPr>
                <w:color w:val="000000"/>
                <w:sz w:val="22"/>
              </w:rPr>
            </w:pPr>
            <w:r>
              <w:rPr>
                <w:color w:val="000000"/>
                <w:kern w:val="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b/>
                <w:bCs/>
                <w:color w:val="000000"/>
                <w:kern w:val="0"/>
              </w:rPr>
            </w:pPr>
            <w:r>
              <w:rPr>
                <w:b/>
                <w:bCs/>
                <w:color w:val="000000"/>
                <w:kern w:val="0"/>
              </w:rPr>
              <w:t>36</w:t>
            </w:r>
          </w:p>
        </w:tc>
        <w:tc>
          <w:tcPr>
            <w:tcW w:w="2877" w:type="pct"/>
            <w:noWrap w:val="0"/>
            <w:vAlign w:val="center"/>
          </w:tcPr>
          <w:p>
            <w:pPr>
              <w:widowControl/>
              <w:rPr>
                <w:rFonts w:ascii="华文楷体" w:hAnsi="华文楷体" w:eastAsia="华文楷体" w:cs="宋体"/>
                <w:b/>
                <w:bCs/>
                <w:color w:val="000000"/>
                <w:kern w:val="0"/>
              </w:rPr>
            </w:pPr>
            <w:r>
              <w:rPr>
                <w:rFonts w:hint="eastAsia" w:ascii="华文楷体" w:hAnsi="华文楷体" w:eastAsia="华文楷体" w:cs="宋体"/>
                <w:b/>
                <w:bCs/>
                <w:color w:val="000000"/>
                <w:kern w:val="0"/>
              </w:rPr>
              <w:t>监管调整前的其他一级资本</w:t>
            </w:r>
          </w:p>
        </w:tc>
        <w:tc>
          <w:tcPr>
            <w:tcW w:w="1048" w:type="pct"/>
            <w:noWrap/>
            <w:vAlign w:val="center"/>
          </w:tcPr>
          <w:p>
            <w:pPr>
              <w:widowControl/>
              <w:jc w:val="right"/>
              <w:textAlignment w:val="center"/>
              <w:rPr>
                <w:color w:val="000000"/>
                <w:sz w:val="22"/>
              </w:rPr>
            </w:pPr>
            <w:r>
              <w:rPr>
                <w:color w:val="000000"/>
                <w:kern w:val="0"/>
                <w:sz w:val="22"/>
              </w:rPr>
              <w:t>19,975</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231" w:type="pct"/>
            <w:gridSpan w:val="2"/>
            <w:noWrap/>
            <w:vAlign w:val="center"/>
          </w:tcPr>
          <w:p>
            <w:pPr>
              <w:widowControl/>
              <w:jc w:val="left"/>
              <w:rPr>
                <w:rFonts w:ascii="华文楷体" w:hAnsi="华文楷体" w:eastAsia="华文楷体" w:cs="宋体"/>
                <w:b/>
                <w:bCs/>
                <w:color w:val="000000"/>
                <w:kern w:val="0"/>
              </w:rPr>
            </w:pPr>
            <w:r>
              <w:rPr>
                <w:rFonts w:hint="eastAsia" w:ascii="华文楷体" w:hAnsi="华文楷体" w:eastAsia="华文楷体" w:cs="宋体"/>
                <w:b/>
                <w:bCs/>
                <w:color w:val="000000"/>
                <w:kern w:val="0"/>
              </w:rPr>
              <w:t>其他一级资本：监管调整</w:t>
            </w:r>
          </w:p>
        </w:tc>
        <w:tc>
          <w:tcPr>
            <w:tcW w:w="1048" w:type="pct"/>
            <w:noWrap/>
            <w:vAlign w:val="center"/>
          </w:tcPr>
          <w:p>
            <w:pPr>
              <w:widowControl/>
              <w:jc w:val="right"/>
              <w:rPr>
                <w:rFonts w:ascii="宋体" w:hAnsi="宋体" w:cs="宋体"/>
                <w:color w:val="000000"/>
                <w:kern w:val="0"/>
              </w:rPr>
            </w:pPr>
            <w:r>
              <w:rPr>
                <w:rFonts w:hint="eastAsia" w:ascii="宋体" w:hAnsi="宋体" w:cs="宋体"/>
                <w:color w:val="000000"/>
                <w:kern w:val="0"/>
              </w:rPr>
              <w:t>　</w:t>
            </w:r>
          </w:p>
        </w:tc>
        <w:tc>
          <w:tcPr>
            <w:tcW w:w="720" w:type="pct"/>
            <w:noWrap/>
            <w:vAlign w:val="center"/>
          </w:tcPr>
          <w:p>
            <w:pPr>
              <w:jc w:val="right"/>
              <w:rPr>
                <w:rFonts w:ascii="宋体" w:hAnsi="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37</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直接或间接持有的本银行其他一级资本</w:t>
            </w:r>
          </w:p>
        </w:tc>
        <w:tc>
          <w:tcPr>
            <w:tcW w:w="1048" w:type="pct"/>
            <w:noWrap/>
            <w:vAlign w:val="center"/>
          </w:tcPr>
          <w:p>
            <w:pPr>
              <w:widowControl/>
              <w:jc w:val="right"/>
              <w:textAlignment w:val="center"/>
              <w:rPr>
                <w:color w:val="000000"/>
                <w:kern w:val="0"/>
                <w:sz w:val="22"/>
              </w:rPr>
            </w:pPr>
            <w:r>
              <w:rPr>
                <w:color w:val="000000"/>
                <w:kern w:val="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38</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银行间或银行与其他金融机构间通过协议相互持有的其他一级资本</w:t>
            </w:r>
          </w:p>
        </w:tc>
        <w:tc>
          <w:tcPr>
            <w:tcW w:w="1048" w:type="pct"/>
            <w:noWrap/>
            <w:vAlign w:val="center"/>
          </w:tcPr>
          <w:p>
            <w:pPr>
              <w:widowControl/>
              <w:jc w:val="right"/>
              <w:textAlignment w:val="center"/>
              <w:rPr>
                <w:color w:val="000000"/>
                <w:sz w:val="22"/>
              </w:rPr>
            </w:pPr>
            <w:r>
              <w:rPr>
                <w:color w:val="000000"/>
                <w:kern w:val="0"/>
                <w:sz w:val="22"/>
              </w:rPr>
              <w:t>-</w:t>
            </w:r>
          </w:p>
        </w:tc>
        <w:tc>
          <w:tcPr>
            <w:tcW w:w="720" w:type="pct"/>
            <w:noWrap/>
            <w:vAlign w:val="center"/>
          </w:tcPr>
          <w:p>
            <w:pPr>
              <w:jc w:val="center"/>
              <w:rPr>
                <w:rFonts w:ascii="宋体" w:hAnsi="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39</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对未并表金融机构小额少数资本投资中的其他一级资本应扣除部分</w:t>
            </w:r>
          </w:p>
        </w:tc>
        <w:tc>
          <w:tcPr>
            <w:tcW w:w="1048" w:type="pct"/>
            <w:noWrap/>
            <w:vAlign w:val="center"/>
          </w:tcPr>
          <w:p>
            <w:pPr>
              <w:widowControl/>
              <w:jc w:val="right"/>
              <w:textAlignment w:val="center"/>
              <w:rPr>
                <w:color w:val="000000"/>
                <w:sz w:val="22"/>
              </w:rPr>
            </w:pPr>
            <w:r>
              <w:rPr>
                <w:color w:val="000000"/>
                <w:kern w:val="0"/>
                <w:sz w:val="22"/>
              </w:rPr>
              <w:t>-</w:t>
            </w:r>
          </w:p>
        </w:tc>
        <w:tc>
          <w:tcPr>
            <w:tcW w:w="720" w:type="pct"/>
            <w:noWrap/>
            <w:vAlign w:val="center"/>
          </w:tcPr>
          <w:p>
            <w:pPr>
              <w:jc w:val="center"/>
              <w:rPr>
                <w:rFonts w:ascii="宋体" w:hAnsi="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40</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对未并表金融机构大额少数资本投资中的其他一级资本</w:t>
            </w:r>
          </w:p>
        </w:tc>
        <w:tc>
          <w:tcPr>
            <w:tcW w:w="1048" w:type="pct"/>
            <w:noWrap/>
            <w:vAlign w:val="center"/>
          </w:tcPr>
          <w:p>
            <w:pPr>
              <w:widowControl/>
              <w:jc w:val="right"/>
              <w:textAlignment w:val="center"/>
              <w:rPr>
                <w:color w:val="000000"/>
                <w:sz w:val="22"/>
              </w:rPr>
            </w:pPr>
            <w:r>
              <w:rPr>
                <w:color w:val="000000"/>
                <w:kern w:val="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41a</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对有控制权但不并表的金融机构的其他一级资本投资</w:t>
            </w:r>
          </w:p>
        </w:tc>
        <w:tc>
          <w:tcPr>
            <w:tcW w:w="1048" w:type="pct"/>
            <w:noWrap/>
            <w:vAlign w:val="center"/>
          </w:tcPr>
          <w:p>
            <w:pPr>
              <w:widowControl/>
              <w:jc w:val="right"/>
              <w:textAlignment w:val="center"/>
              <w:rPr>
                <w:color w:val="000000"/>
                <w:sz w:val="22"/>
              </w:rPr>
            </w:pPr>
            <w:r>
              <w:rPr>
                <w:color w:val="000000"/>
                <w:kern w:val="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41b</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对有控制权但不并表的金融机构的其他一级资本缺口</w:t>
            </w:r>
          </w:p>
        </w:tc>
        <w:tc>
          <w:tcPr>
            <w:tcW w:w="1048" w:type="pct"/>
            <w:noWrap/>
            <w:vAlign w:val="center"/>
          </w:tcPr>
          <w:p>
            <w:pPr>
              <w:widowControl/>
              <w:jc w:val="right"/>
              <w:textAlignment w:val="center"/>
              <w:rPr>
                <w:color w:val="000000"/>
                <w:sz w:val="22"/>
              </w:rPr>
            </w:pPr>
            <w:r>
              <w:rPr>
                <w:color w:val="000000"/>
                <w:kern w:val="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41c</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其他应在其他一级资本中扣除的项目</w:t>
            </w:r>
          </w:p>
        </w:tc>
        <w:tc>
          <w:tcPr>
            <w:tcW w:w="1048" w:type="pct"/>
            <w:noWrap/>
            <w:vAlign w:val="center"/>
          </w:tcPr>
          <w:p>
            <w:pPr>
              <w:widowControl/>
              <w:jc w:val="right"/>
              <w:textAlignment w:val="center"/>
              <w:rPr>
                <w:color w:val="000000"/>
                <w:sz w:val="22"/>
              </w:rPr>
            </w:pPr>
            <w:r>
              <w:rPr>
                <w:color w:val="000000"/>
                <w:kern w:val="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42</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应从二级资本中扣除的未扣缺口</w:t>
            </w:r>
          </w:p>
        </w:tc>
        <w:tc>
          <w:tcPr>
            <w:tcW w:w="1048" w:type="pct"/>
            <w:noWrap/>
            <w:vAlign w:val="center"/>
          </w:tcPr>
          <w:p>
            <w:pPr>
              <w:widowControl/>
              <w:jc w:val="right"/>
              <w:textAlignment w:val="center"/>
              <w:rPr>
                <w:color w:val="000000"/>
                <w:sz w:val="22"/>
              </w:rPr>
            </w:pPr>
            <w:r>
              <w:rPr>
                <w:color w:val="000000"/>
                <w:kern w:val="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b/>
                <w:bCs/>
                <w:color w:val="000000"/>
                <w:kern w:val="0"/>
              </w:rPr>
            </w:pPr>
            <w:r>
              <w:rPr>
                <w:b/>
                <w:bCs/>
                <w:color w:val="000000"/>
                <w:kern w:val="0"/>
              </w:rPr>
              <w:t>43</w:t>
            </w:r>
          </w:p>
        </w:tc>
        <w:tc>
          <w:tcPr>
            <w:tcW w:w="2877" w:type="pct"/>
            <w:noWrap w:val="0"/>
            <w:vAlign w:val="center"/>
          </w:tcPr>
          <w:p>
            <w:pPr>
              <w:widowControl/>
              <w:rPr>
                <w:rFonts w:ascii="华文楷体" w:hAnsi="华文楷体" w:eastAsia="华文楷体" w:cs="宋体"/>
                <w:b/>
                <w:bCs/>
                <w:color w:val="000000"/>
                <w:kern w:val="0"/>
              </w:rPr>
            </w:pPr>
            <w:r>
              <w:rPr>
                <w:rFonts w:hint="eastAsia" w:ascii="华文楷体" w:hAnsi="华文楷体" w:eastAsia="华文楷体" w:cs="宋体"/>
                <w:b/>
                <w:bCs/>
                <w:color w:val="000000"/>
                <w:kern w:val="0"/>
              </w:rPr>
              <w:t>其他一级资本监管调整总和</w:t>
            </w:r>
          </w:p>
        </w:tc>
        <w:tc>
          <w:tcPr>
            <w:tcW w:w="1048" w:type="pct"/>
            <w:noWrap/>
            <w:vAlign w:val="center"/>
          </w:tcPr>
          <w:p>
            <w:pPr>
              <w:widowControl/>
              <w:jc w:val="right"/>
              <w:textAlignment w:val="center"/>
              <w:rPr>
                <w:color w:val="000000"/>
                <w:sz w:val="22"/>
              </w:rPr>
            </w:pPr>
            <w:r>
              <w:rPr>
                <w:color w:val="000000"/>
                <w:kern w:val="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b/>
                <w:bCs/>
                <w:color w:val="000000"/>
                <w:kern w:val="0"/>
              </w:rPr>
            </w:pPr>
            <w:r>
              <w:rPr>
                <w:b/>
                <w:bCs/>
                <w:color w:val="000000"/>
                <w:kern w:val="0"/>
              </w:rPr>
              <w:t>44</w:t>
            </w:r>
          </w:p>
        </w:tc>
        <w:tc>
          <w:tcPr>
            <w:tcW w:w="2877" w:type="pct"/>
            <w:noWrap w:val="0"/>
            <w:vAlign w:val="center"/>
          </w:tcPr>
          <w:p>
            <w:pPr>
              <w:widowControl/>
              <w:rPr>
                <w:rFonts w:ascii="华文楷体" w:hAnsi="华文楷体" w:eastAsia="华文楷体" w:cs="宋体"/>
                <w:b/>
                <w:bCs/>
                <w:color w:val="000000"/>
                <w:kern w:val="0"/>
              </w:rPr>
            </w:pPr>
            <w:r>
              <w:rPr>
                <w:rFonts w:hint="eastAsia" w:ascii="华文楷体" w:hAnsi="华文楷体" w:eastAsia="华文楷体" w:cs="宋体"/>
                <w:b/>
                <w:bCs/>
                <w:color w:val="000000"/>
                <w:kern w:val="0"/>
              </w:rPr>
              <w:t>其他一级资本</w:t>
            </w:r>
          </w:p>
        </w:tc>
        <w:tc>
          <w:tcPr>
            <w:tcW w:w="1048" w:type="pct"/>
            <w:noWrap/>
            <w:vAlign w:val="center"/>
          </w:tcPr>
          <w:p>
            <w:pPr>
              <w:widowControl/>
              <w:jc w:val="right"/>
              <w:textAlignment w:val="center"/>
              <w:rPr>
                <w:color w:val="000000"/>
                <w:sz w:val="22"/>
              </w:rPr>
            </w:pPr>
            <w:r>
              <w:rPr>
                <w:color w:val="000000"/>
                <w:kern w:val="0"/>
                <w:sz w:val="22"/>
              </w:rPr>
              <w:t>19,975</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b/>
                <w:bCs/>
                <w:color w:val="000000"/>
                <w:kern w:val="0"/>
              </w:rPr>
            </w:pPr>
            <w:r>
              <w:rPr>
                <w:b/>
                <w:bCs/>
                <w:color w:val="000000"/>
                <w:kern w:val="0"/>
              </w:rPr>
              <w:t>45</w:t>
            </w:r>
          </w:p>
        </w:tc>
        <w:tc>
          <w:tcPr>
            <w:tcW w:w="2877" w:type="pct"/>
            <w:noWrap w:val="0"/>
            <w:vAlign w:val="center"/>
          </w:tcPr>
          <w:p>
            <w:pPr>
              <w:widowControl/>
              <w:rPr>
                <w:rFonts w:ascii="华文楷体" w:hAnsi="华文楷体" w:eastAsia="华文楷体" w:cs="宋体"/>
                <w:b/>
                <w:bCs/>
                <w:color w:val="000000"/>
                <w:kern w:val="0"/>
              </w:rPr>
            </w:pPr>
            <w:r>
              <w:rPr>
                <w:rFonts w:hint="eastAsia" w:ascii="华文楷体" w:hAnsi="华文楷体" w:eastAsia="华文楷体" w:cs="宋体"/>
                <w:b/>
                <w:bCs/>
                <w:color w:val="000000"/>
                <w:kern w:val="0"/>
              </w:rPr>
              <w:t>一级资本(核心一级资本+其他一级资本)</w:t>
            </w:r>
          </w:p>
        </w:tc>
        <w:tc>
          <w:tcPr>
            <w:tcW w:w="1048" w:type="pct"/>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203,103</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231" w:type="pct"/>
            <w:gridSpan w:val="2"/>
            <w:noWrap/>
            <w:vAlign w:val="center"/>
          </w:tcPr>
          <w:p>
            <w:pPr>
              <w:widowControl/>
              <w:jc w:val="left"/>
              <w:rPr>
                <w:rFonts w:ascii="华文楷体" w:hAnsi="华文楷体" w:eastAsia="华文楷体" w:cs="宋体"/>
                <w:b/>
                <w:bCs/>
                <w:color w:val="000000"/>
                <w:kern w:val="0"/>
              </w:rPr>
            </w:pPr>
            <w:r>
              <w:rPr>
                <w:rFonts w:hint="eastAsia" w:ascii="华文楷体" w:hAnsi="华文楷体" w:eastAsia="华文楷体" w:cs="宋体"/>
                <w:b/>
                <w:bCs/>
                <w:color w:val="000000"/>
                <w:kern w:val="0"/>
              </w:rPr>
              <w:t>二级资本：</w:t>
            </w:r>
          </w:p>
        </w:tc>
        <w:tc>
          <w:tcPr>
            <w:tcW w:w="1048" w:type="pct"/>
            <w:noWrap/>
            <w:vAlign w:val="center"/>
          </w:tcPr>
          <w:p>
            <w:pPr>
              <w:widowControl/>
              <w:jc w:val="right"/>
              <w:rPr>
                <w:rFonts w:ascii="宋体" w:hAnsi="宋体" w:cs="宋体"/>
                <w:color w:val="000000"/>
                <w:kern w:val="0"/>
              </w:rPr>
            </w:pPr>
            <w:r>
              <w:rPr>
                <w:rFonts w:hint="eastAsia" w:ascii="宋体" w:hAnsi="宋体" w:cs="宋体"/>
                <w:color w:val="000000"/>
                <w:kern w:val="0"/>
              </w:rPr>
              <w:t>　</w:t>
            </w:r>
          </w:p>
        </w:tc>
        <w:tc>
          <w:tcPr>
            <w:tcW w:w="720" w:type="pct"/>
            <w:noWrap/>
            <w:vAlign w:val="center"/>
          </w:tcPr>
          <w:p>
            <w:pPr>
              <w:jc w:val="right"/>
              <w:rPr>
                <w:rFonts w:ascii="宋体" w:hAnsi="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46</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二级资本工具及其溢价</w:t>
            </w:r>
          </w:p>
        </w:tc>
        <w:tc>
          <w:tcPr>
            <w:tcW w:w="1048" w:type="pct"/>
            <w:noWrap/>
            <w:vAlign w:val="center"/>
          </w:tcPr>
          <w:p>
            <w:pPr>
              <w:widowControl/>
              <w:jc w:val="right"/>
              <w:textAlignment w:val="center"/>
              <w:rPr>
                <w:color w:val="000000"/>
                <w:sz w:val="22"/>
              </w:rPr>
            </w:pPr>
            <w:r>
              <w:rPr>
                <w:color w:val="000000"/>
                <w:kern w:val="0"/>
                <w:sz w:val="22"/>
              </w:rPr>
              <w:t>20,000</w:t>
            </w:r>
          </w:p>
        </w:tc>
        <w:tc>
          <w:tcPr>
            <w:tcW w:w="720" w:type="pct"/>
            <w:noWrap/>
            <w:vAlign w:val="center"/>
          </w:tcPr>
          <w:p>
            <w:pPr>
              <w:jc w:val="center"/>
              <w:rPr>
                <w:color w:val="000000"/>
                <w:sz w:val="22"/>
              </w:rPr>
            </w:pPr>
            <w:r>
              <w:rPr>
                <w:color w:val="000000"/>
                <w:sz w:val="22"/>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47</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其中：过渡期后不可计入二级资本的部分</w:t>
            </w:r>
          </w:p>
        </w:tc>
        <w:tc>
          <w:tcPr>
            <w:tcW w:w="1048" w:type="pct"/>
            <w:noWrap/>
            <w:vAlign w:val="center"/>
          </w:tcPr>
          <w:p>
            <w:pPr>
              <w:widowControl/>
              <w:jc w:val="right"/>
              <w:textAlignment w:val="center"/>
              <w:rPr>
                <w:color w:val="000000"/>
                <w:kern w:val="0"/>
                <w:sz w:val="22"/>
              </w:rPr>
            </w:pPr>
            <w:r>
              <w:rPr>
                <w:color w:val="000000"/>
                <w:kern w:val="0"/>
                <w:sz w:val="22"/>
              </w:rPr>
              <w:t>0</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48</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少数股东资本可计入部分</w:t>
            </w:r>
          </w:p>
        </w:tc>
        <w:tc>
          <w:tcPr>
            <w:tcW w:w="1048" w:type="pct"/>
            <w:noWrap/>
            <w:vAlign w:val="center"/>
          </w:tcPr>
          <w:p>
            <w:pPr>
              <w:widowControl/>
              <w:jc w:val="right"/>
              <w:textAlignment w:val="center"/>
              <w:rPr>
                <w:color w:val="000000"/>
                <w:sz w:val="22"/>
              </w:rPr>
            </w:pPr>
            <w:r>
              <w:rPr>
                <w:color w:val="000000"/>
                <w:kern w:val="0"/>
                <w:sz w:val="22"/>
              </w:rPr>
              <w:t>35</w:t>
            </w:r>
          </w:p>
        </w:tc>
        <w:tc>
          <w:tcPr>
            <w:tcW w:w="720" w:type="pct"/>
            <w:noWrap/>
            <w:vAlign w:val="center"/>
          </w:tcPr>
          <w:p>
            <w:pPr>
              <w:jc w:val="center"/>
              <w:rPr>
                <w:color w:val="000000"/>
                <w:sz w:val="22"/>
              </w:rPr>
            </w:pPr>
            <w:r>
              <w:rPr>
                <w:color w:val="000000"/>
                <w:sz w:val="22"/>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49</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其中：过渡期结束后不可计入的部分</w:t>
            </w:r>
          </w:p>
        </w:tc>
        <w:tc>
          <w:tcPr>
            <w:tcW w:w="1048" w:type="pct"/>
            <w:noWrap/>
            <w:vAlign w:val="center"/>
          </w:tcPr>
          <w:p>
            <w:pPr>
              <w:widowControl/>
              <w:jc w:val="right"/>
              <w:textAlignment w:val="center"/>
              <w:rPr>
                <w:color w:val="000000"/>
                <w:sz w:val="22"/>
              </w:rPr>
            </w:pPr>
            <w:r>
              <w:rPr>
                <w:color w:val="000000"/>
                <w:kern w:val="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4" w:type="pct"/>
            <w:noWrap/>
            <w:vAlign w:val="center"/>
          </w:tcPr>
          <w:p>
            <w:pPr>
              <w:widowControl/>
              <w:rPr>
                <w:color w:val="000000"/>
                <w:kern w:val="0"/>
              </w:rPr>
            </w:pPr>
            <w:r>
              <w:rPr>
                <w:color w:val="000000"/>
                <w:kern w:val="0"/>
              </w:rPr>
              <w:t>50</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超额贷款损失准备可计入部分</w:t>
            </w:r>
          </w:p>
        </w:tc>
        <w:tc>
          <w:tcPr>
            <w:tcW w:w="1048" w:type="pct"/>
            <w:noWrap/>
            <w:vAlign w:val="center"/>
          </w:tcPr>
          <w:p>
            <w:pPr>
              <w:widowControl/>
              <w:jc w:val="right"/>
              <w:textAlignment w:val="center"/>
              <w:rPr>
                <w:color w:val="000000"/>
                <w:sz w:val="22"/>
              </w:rPr>
            </w:pPr>
            <w:r>
              <w:rPr>
                <w:color w:val="000000"/>
                <w:kern w:val="0"/>
                <w:sz w:val="22"/>
              </w:rPr>
              <w:t>23,780</w:t>
            </w:r>
          </w:p>
        </w:tc>
        <w:tc>
          <w:tcPr>
            <w:tcW w:w="720" w:type="pct"/>
            <w:noWrap/>
            <w:vAlign w:val="center"/>
          </w:tcPr>
          <w:p>
            <w:pPr>
              <w:jc w:val="center"/>
              <w:rPr>
                <w:color w:val="000000"/>
                <w:sz w:val="22"/>
              </w:rPr>
            </w:pPr>
            <w:r>
              <w:rPr>
                <w:color w:val="000000"/>
                <w:sz w:val="22"/>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b/>
                <w:bCs/>
                <w:color w:val="000000"/>
                <w:kern w:val="0"/>
              </w:rPr>
            </w:pPr>
            <w:r>
              <w:rPr>
                <w:b/>
                <w:bCs/>
                <w:color w:val="000000"/>
                <w:kern w:val="0"/>
              </w:rPr>
              <w:t>51</w:t>
            </w:r>
          </w:p>
        </w:tc>
        <w:tc>
          <w:tcPr>
            <w:tcW w:w="2877" w:type="pct"/>
            <w:noWrap w:val="0"/>
            <w:vAlign w:val="center"/>
          </w:tcPr>
          <w:p>
            <w:pPr>
              <w:widowControl/>
              <w:rPr>
                <w:rFonts w:ascii="华文楷体" w:hAnsi="华文楷体" w:eastAsia="华文楷体" w:cs="宋体"/>
                <w:b/>
                <w:bCs/>
                <w:color w:val="000000"/>
                <w:kern w:val="0"/>
              </w:rPr>
            </w:pPr>
            <w:r>
              <w:rPr>
                <w:rFonts w:hint="eastAsia" w:ascii="华文楷体" w:hAnsi="华文楷体" w:eastAsia="华文楷体" w:cs="宋体"/>
                <w:b/>
                <w:bCs/>
                <w:color w:val="000000"/>
                <w:kern w:val="0"/>
              </w:rPr>
              <w:t>监管调整前的二级资本</w:t>
            </w:r>
          </w:p>
        </w:tc>
        <w:tc>
          <w:tcPr>
            <w:tcW w:w="1048" w:type="pct"/>
            <w:noWrap/>
            <w:vAlign w:val="center"/>
          </w:tcPr>
          <w:p>
            <w:pPr>
              <w:widowControl/>
              <w:jc w:val="right"/>
              <w:textAlignment w:val="center"/>
              <w:rPr>
                <w:color w:val="000000"/>
                <w:sz w:val="22"/>
              </w:rPr>
            </w:pPr>
            <w:r>
              <w:rPr>
                <w:color w:val="000000"/>
                <w:kern w:val="0"/>
                <w:sz w:val="22"/>
              </w:rPr>
              <w:t>43,815</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231" w:type="pct"/>
            <w:gridSpan w:val="2"/>
            <w:noWrap/>
            <w:vAlign w:val="center"/>
          </w:tcPr>
          <w:p>
            <w:pPr>
              <w:widowControl/>
              <w:jc w:val="left"/>
              <w:rPr>
                <w:rFonts w:ascii="华文楷体" w:hAnsi="华文楷体" w:eastAsia="华文楷体" w:cs="宋体"/>
                <w:b/>
                <w:bCs/>
                <w:color w:val="000000"/>
                <w:kern w:val="0"/>
              </w:rPr>
            </w:pPr>
            <w:r>
              <w:rPr>
                <w:rFonts w:hint="eastAsia" w:ascii="华文楷体" w:hAnsi="华文楷体" w:eastAsia="华文楷体" w:cs="宋体"/>
                <w:b/>
                <w:bCs/>
                <w:color w:val="000000"/>
                <w:kern w:val="0"/>
              </w:rPr>
              <w:t>二级资本：监管调整</w:t>
            </w:r>
          </w:p>
        </w:tc>
        <w:tc>
          <w:tcPr>
            <w:tcW w:w="1048" w:type="pct"/>
            <w:noWrap/>
            <w:vAlign w:val="center"/>
          </w:tcPr>
          <w:p>
            <w:pPr>
              <w:widowControl/>
              <w:jc w:val="right"/>
              <w:rPr>
                <w:rFonts w:ascii="宋体" w:hAnsi="宋体" w:cs="宋体"/>
                <w:color w:val="000000"/>
                <w:kern w:val="0"/>
              </w:rPr>
            </w:pPr>
            <w:r>
              <w:rPr>
                <w:rFonts w:hint="eastAsia" w:ascii="宋体" w:hAnsi="宋体" w:cs="宋体"/>
                <w:color w:val="000000"/>
                <w:kern w:val="0"/>
              </w:rPr>
              <w:t>　</w:t>
            </w:r>
          </w:p>
        </w:tc>
        <w:tc>
          <w:tcPr>
            <w:tcW w:w="720" w:type="pct"/>
            <w:noWrap/>
            <w:vAlign w:val="center"/>
          </w:tcPr>
          <w:p>
            <w:pPr>
              <w:jc w:val="right"/>
              <w:rPr>
                <w:rFonts w:ascii="宋体" w:hAnsi="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52</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直接或间接持有的本银行的二级资本</w:t>
            </w:r>
          </w:p>
        </w:tc>
        <w:tc>
          <w:tcPr>
            <w:tcW w:w="1048" w:type="pct"/>
            <w:noWrap/>
            <w:vAlign w:val="center"/>
          </w:tcPr>
          <w:p>
            <w:pPr>
              <w:widowControl/>
              <w:jc w:val="right"/>
              <w:rPr>
                <w:color w:val="000000"/>
                <w:kern w:val="0"/>
                <w:sz w:val="22"/>
              </w:rPr>
            </w:pPr>
            <w:r>
              <w:rPr>
                <w:color w:val="00000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53</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银行间或银行与其他金融机构间通过协议相互持有的二级资本</w:t>
            </w:r>
          </w:p>
        </w:tc>
        <w:tc>
          <w:tcPr>
            <w:tcW w:w="1048" w:type="pct"/>
            <w:noWrap/>
            <w:vAlign w:val="center"/>
          </w:tcPr>
          <w:p>
            <w:pPr>
              <w:jc w:val="right"/>
              <w:rPr>
                <w:color w:val="000000"/>
                <w:sz w:val="22"/>
              </w:rPr>
            </w:pPr>
            <w:r>
              <w:rPr>
                <w:color w:val="000000"/>
                <w:sz w:val="22"/>
              </w:rPr>
              <w:t>-</w:t>
            </w:r>
          </w:p>
        </w:tc>
        <w:tc>
          <w:tcPr>
            <w:tcW w:w="720" w:type="pct"/>
            <w:noWrap/>
            <w:vAlign w:val="center"/>
          </w:tcPr>
          <w:p>
            <w:pPr>
              <w:jc w:val="center"/>
              <w:rPr>
                <w:rFonts w:ascii="宋体" w:hAnsi="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54</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对未并表金融机构小额少数资本投资中的二级资本应扣除部分</w:t>
            </w:r>
          </w:p>
        </w:tc>
        <w:tc>
          <w:tcPr>
            <w:tcW w:w="1048" w:type="pct"/>
            <w:noWrap/>
            <w:vAlign w:val="center"/>
          </w:tcPr>
          <w:p>
            <w:pPr>
              <w:jc w:val="right"/>
              <w:rPr>
                <w:color w:val="000000"/>
                <w:sz w:val="22"/>
              </w:rPr>
            </w:pPr>
            <w:r>
              <w:rPr>
                <w:color w:val="000000"/>
                <w:sz w:val="22"/>
              </w:rPr>
              <w:t>-</w:t>
            </w:r>
          </w:p>
        </w:tc>
        <w:tc>
          <w:tcPr>
            <w:tcW w:w="720" w:type="pct"/>
            <w:noWrap/>
            <w:vAlign w:val="center"/>
          </w:tcPr>
          <w:p>
            <w:pPr>
              <w:jc w:val="center"/>
              <w:rPr>
                <w:rFonts w:ascii="宋体" w:hAnsi="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55</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对未并表金融机构大额少数资本投资中的二级资本</w:t>
            </w:r>
          </w:p>
        </w:tc>
        <w:tc>
          <w:tcPr>
            <w:tcW w:w="1048" w:type="pct"/>
            <w:noWrap/>
            <w:vAlign w:val="center"/>
          </w:tcPr>
          <w:p>
            <w:pPr>
              <w:jc w:val="right"/>
              <w:rPr>
                <w:color w:val="000000"/>
                <w:sz w:val="22"/>
              </w:rPr>
            </w:pPr>
            <w:r>
              <w:rPr>
                <w:color w:val="00000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56a</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对有控制权但不并表的金融机构的二级资本投资</w:t>
            </w:r>
          </w:p>
        </w:tc>
        <w:tc>
          <w:tcPr>
            <w:tcW w:w="1048" w:type="pct"/>
            <w:noWrap/>
            <w:vAlign w:val="center"/>
          </w:tcPr>
          <w:p>
            <w:pPr>
              <w:jc w:val="right"/>
              <w:rPr>
                <w:color w:val="000000"/>
                <w:sz w:val="22"/>
              </w:rPr>
            </w:pPr>
            <w:r>
              <w:rPr>
                <w:color w:val="00000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56b</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有控制权但不并表的金融机构的二级资本缺口</w:t>
            </w:r>
          </w:p>
        </w:tc>
        <w:tc>
          <w:tcPr>
            <w:tcW w:w="1048" w:type="pct"/>
            <w:noWrap/>
            <w:vAlign w:val="center"/>
          </w:tcPr>
          <w:p>
            <w:pPr>
              <w:jc w:val="right"/>
              <w:rPr>
                <w:color w:val="000000"/>
                <w:sz w:val="22"/>
              </w:rPr>
            </w:pPr>
            <w:r>
              <w:rPr>
                <w:color w:val="00000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56c</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其他应在二级资本中扣除的项目</w:t>
            </w:r>
          </w:p>
        </w:tc>
        <w:tc>
          <w:tcPr>
            <w:tcW w:w="1048" w:type="pct"/>
            <w:noWrap/>
            <w:vAlign w:val="center"/>
          </w:tcPr>
          <w:p>
            <w:pPr>
              <w:jc w:val="right"/>
              <w:rPr>
                <w:color w:val="000000"/>
                <w:sz w:val="22"/>
              </w:rPr>
            </w:pPr>
            <w:r>
              <w:rPr>
                <w:color w:val="00000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57</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二级资本监管调整总和</w:t>
            </w:r>
          </w:p>
        </w:tc>
        <w:tc>
          <w:tcPr>
            <w:tcW w:w="1048" w:type="pct"/>
            <w:noWrap/>
            <w:vAlign w:val="center"/>
          </w:tcPr>
          <w:p>
            <w:pPr>
              <w:jc w:val="right"/>
              <w:rPr>
                <w:color w:val="000000"/>
                <w:sz w:val="22"/>
              </w:rPr>
            </w:pPr>
            <w:r>
              <w:rPr>
                <w:color w:val="00000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b/>
                <w:bCs/>
                <w:color w:val="000000"/>
                <w:kern w:val="0"/>
              </w:rPr>
            </w:pPr>
            <w:r>
              <w:rPr>
                <w:b/>
                <w:bCs/>
                <w:color w:val="000000"/>
                <w:kern w:val="0"/>
              </w:rPr>
              <w:t>58</w:t>
            </w:r>
          </w:p>
        </w:tc>
        <w:tc>
          <w:tcPr>
            <w:tcW w:w="2877" w:type="pct"/>
            <w:noWrap w:val="0"/>
            <w:vAlign w:val="center"/>
          </w:tcPr>
          <w:p>
            <w:pPr>
              <w:widowControl/>
              <w:rPr>
                <w:rFonts w:ascii="华文楷体" w:hAnsi="华文楷体" w:eastAsia="华文楷体" w:cs="宋体"/>
                <w:b/>
                <w:bCs/>
                <w:color w:val="000000"/>
                <w:kern w:val="0"/>
              </w:rPr>
            </w:pPr>
            <w:r>
              <w:rPr>
                <w:rFonts w:hint="eastAsia" w:ascii="华文楷体" w:hAnsi="华文楷体" w:eastAsia="华文楷体" w:cs="宋体"/>
                <w:b/>
                <w:bCs/>
                <w:color w:val="000000"/>
                <w:kern w:val="0"/>
              </w:rPr>
              <w:t>二级资本</w:t>
            </w:r>
          </w:p>
        </w:tc>
        <w:tc>
          <w:tcPr>
            <w:tcW w:w="1048" w:type="pct"/>
            <w:noWrap/>
            <w:vAlign w:val="center"/>
          </w:tcPr>
          <w:p>
            <w:pPr>
              <w:widowControl/>
              <w:jc w:val="right"/>
              <w:textAlignment w:val="center"/>
              <w:rPr>
                <w:color w:val="000000"/>
                <w:kern w:val="0"/>
                <w:sz w:val="22"/>
              </w:rPr>
            </w:pPr>
            <w:r>
              <w:rPr>
                <w:color w:val="000000"/>
                <w:kern w:val="0"/>
                <w:sz w:val="22"/>
              </w:rPr>
              <w:t>43,815</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b/>
                <w:bCs/>
                <w:color w:val="000000"/>
                <w:kern w:val="0"/>
              </w:rPr>
            </w:pPr>
            <w:r>
              <w:rPr>
                <w:b/>
                <w:bCs/>
                <w:color w:val="000000"/>
                <w:kern w:val="0"/>
              </w:rPr>
              <w:t>59</w:t>
            </w:r>
          </w:p>
        </w:tc>
        <w:tc>
          <w:tcPr>
            <w:tcW w:w="2877" w:type="pct"/>
            <w:noWrap w:val="0"/>
            <w:vAlign w:val="center"/>
          </w:tcPr>
          <w:p>
            <w:pPr>
              <w:widowControl/>
              <w:rPr>
                <w:rFonts w:ascii="华文楷体" w:hAnsi="华文楷体" w:eastAsia="华文楷体" w:cs="宋体"/>
                <w:b/>
                <w:bCs/>
                <w:color w:val="000000"/>
                <w:kern w:val="0"/>
              </w:rPr>
            </w:pPr>
            <w:r>
              <w:rPr>
                <w:rFonts w:hint="eastAsia" w:ascii="华文楷体" w:hAnsi="华文楷体" w:eastAsia="华文楷体" w:cs="宋体"/>
                <w:b/>
                <w:bCs/>
                <w:color w:val="000000"/>
                <w:kern w:val="0"/>
              </w:rPr>
              <w:t>总资本(一级资本+二级资本)</w:t>
            </w:r>
          </w:p>
        </w:tc>
        <w:tc>
          <w:tcPr>
            <w:tcW w:w="1048" w:type="pct"/>
            <w:noWrap/>
            <w:vAlign w:val="center"/>
          </w:tcPr>
          <w:p>
            <w:pPr>
              <w:keepNext w:val="0"/>
              <w:keepLines w:val="0"/>
              <w:widowControl/>
              <w:suppressLineNumbers w:val="0"/>
              <w:jc w:val="right"/>
              <w:textAlignment w:val="center"/>
              <w:rPr>
                <w:rFonts w:hint="default" w:ascii="Times New Roman" w:hAnsi="Times New Roman" w:eastAsia="宋体" w:cs="Times New Roman"/>
                <w:i w:val="0"/>
                <w:iCs w:val="0"/>
                <w:color w:val="000000"/>
                <w:kern w:val="2"/>
                <w:sz w:val="22"/>
                <w:szCs w:val="22"/>
                <w:u w:val="none"/>
                <w:lang w:val="en-US" w:eastAsia="zh-CN" w:bidi="ar-SA"/>
              </w:rPr>
            </w:pPr>
            <w:r>
              <w:rPr>
                <w:rFonts w:hint="default" w:ascii="Times New Roman" w:hAnsi="Times New Roman" w:eastAsia="宋体" w:cs="Times New Roman"/>
                <w:i w:val="0"/>
                <w:iCs w:val="0"/>
                <w:color w:val="000000"/>
                <w:kern w:val="0"/>
                <w:sz w:val="22"/>
                <w:szCs w:val="22"/>
                <w:u w:val="none"/>
                <w:lang w:val="en-US" w:eastAsia="zh-CN" w:bidi="ar"/>
              </w:rPr>
              <w:t>246,918</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b/>
                <w:bCs/>
                <w:color w:val="000000"/>
                <w:kern w:val="0"/>
              </w:rPr>
            </w:pPr>
            <w:r>
              <w:rPr>
                <w:b/>
                <w:bCs/>
                <w:color w:val="000000"/>
                <w:kern w:val="0"/>
              </w:rPr>
              <w:t>60</w:t>
            </w:r>
          </w:p>
        </w:tc>
        <w:tc>
          <w:tcPr>
            <w:tcW w:w="2877" w:type="pct"/>
            <w:noWrap w:val="0"/>
            <w:vAlign w:val="center"/>
          </w:tcPr>
          <w:p>
            <w:pPr>
              <w:widowControl/>
              <w:rPr>
                <w:rFonts w:ascii="华文楷体" w:hAnsi="华文楷体" w:eastAsia="华文楷体" w:cs="宋体"/>
                <w:b/>
                <w:bCs/>
                <w:color w:val="000000"/>
                <w:kern w:val="0"/>
              </w:rPr>
            </w:pPr>
            <w:r>
              <w:rPr>
                <w:rFonts w:hint="eastAsia" w:ascii="华文楷体" w:hAnsi="华文楷体" w:eastAsia="华文楷体" w:cs="宋体"/>
                <w:b/>
                <w:bCs/>
                <w:color w:val="000000"/>
                <w:kern w:val="0"/>
              </w:rPr>
              <w:t>总风险加权资产</w:t>
            </w:r>
          </w:p>
        </w:tc>
        <w:tc>
          <w:tcPr>
            <w:tcW w:w="1048" w:type="pct"/>
            <w:noWrap/>
            <w:vAlign w:val="center"/>
          </w:tcPr>
          <w:p>
            <w:pPr>
              <w:widowControl/>
              <w:jc w:val="right"/>
              <w:textAlignment w:val="center"/>
              <w:rPr>
                <w:color w:val="000000"/>
                <w:sz w:val="22"/>
              </w:rPr>
            </w:pPr>
            <w:r>
              <w:rPr>
                <w:color w:val="000000"/>
                <w:kern w:val="0"/>
                <w:sz w:val="22"/>
              </w:rPr>
              <w:t>2,050,754</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231" w:type="pct"/>
            <w:gridSpan w:val="2"/>
            <w:noWrap/>
            <w:vAlign w:val="center"/>
          </w:tcPr>
          <w:p>
            <w:pPr>
              <w:widowControl/>
              <w:jc w:val="left"/>
              <w:rPr>
                <w:rFonts w:ascii="华文楷体" w:hAnsi="华文楷体" w:eastAsia="华文楷体" w:cs="宋体"/>
                <w:b/>
                <w:bCs/>
                <w:color w:val="000000"/>
                <w:kern w:val="0"/>
              </w:rPr>
            </w:pPr>
            <w:r>
              <w:rPr>
                <w:rFonts w:hint="eastAsia" w:ascii="华文楷体" w:hAnsi="华文楷体" w:eastAsia="华文楷体" w:cs="宋体"/>
                <w:b/>
                <w:bCs/>
                <w:color w:val="000000"/>
                <w:kern w:val="0"/>
              </w:rPr>
              <w:t>资本充足率和储备资本要求</w:t>
            </w:r>
          </w:p>
        </w:tc>
        <w:tc>
          <w:tcPr>
            <w:tcW w:w="1048" w:type="pct"/>
            <w:noWrap/>
            <w:vAlign w:val="center"/>
          </w:tcPr>
          <w:p>
            <w:pPr>
              <w:widowControl/>
              <w:jc w:val="right"/>
              <w:rPr>
                <w:rFonts w:ascii="宋体" w:hAnsi="宋体" w:cs="宋体"/>
                <w:color w:val="000000"/>
                <w:kern w:val="0"/>
              </w:rPr>
            </w:pPr>
            <w:r>
              <w:rPr>
                <w:rFonts w:hint="eastAsia" w:ascii="宋体" w:hAnsi="宋体" w:cs="宋体"/>
                <w:color w:val="000000"/>
                <w:kern w:val="0"/>
              </w:rPr>
              <w:t>　</w:t>
            </w:r>
          </w:p>
        </w:tc>
        <w:tc>
          <w:tcPr>
            <w:tcW w:w="720" w:type="pct"/>
            <w:noWrap/>
            <w:vAlign w:val="center"/>
          </w:tcPr>
          <w:p>
            <w:pPr>
              <w:jc w:val="right"/>
              <w:rPr>
                <w:rFonts w:ascii="宋体" w:hAnsi="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61</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核心一级资本充足率</w:t>
            </w:r>
          </w:p>
        </w:tc>
        <w:tc>
          <w:tcPr>
            <w:tcW w:w="1048" w:type="pct"/>
            <w:noWrap/>
            <w:vAlign w:val="center"/>
          </w:tcPr>
          <w:p>
            <w:pPr>
              <w:widowControl/>
              <w:jc w:val="right"/>
              <w:textAlignment w:val="center"/>
              <w:rPr>
                <w:color w:val="000000"/>
                <w:kern w:val="0"/>
                <w:sz w:val="22"/>
              </w:rPr>
            </w:pPr>
            <w:r>
              <w:rPr>
                <w:color w:val="000000"/>
                <w:kern w:val="0"/>
                <w:sz w:val="22"/>
              </w:rPr>
              <w:t>8.93%</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62</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一级资本充足率</w:t>
            </w:r>
          </w:p>
        </w:tc>
        <w:tc>
          <w:tcPr>
            <w:tcW w:w="1048" w:type="pct"/>
            <w:noWrap/>
            <w:vAlign w:val="center"/>
          </w:tcPr>
          <w:p>
            <w:pPr>
              <w:widowControl/>
              <w:jc w:val="right"/>
              <w:textAlignment w:val="center"/>
              <w:rPr>
                <w:color w:val="000000"/>
                <w:sz w:val="22"/>
              </w:rPr>
            </w:pPr>
            <w:r>
              <w:rPr>
                <w:color w:val="000000"/>
                <w:kern w:val="0"/>
                <w:sz w:val="22"/>
              </w:rPr>
              <w:t>9.90%</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63</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资本充足率</w:t>
            </w:r>
          </w:p>
        </w:tc>
        <w:tc>
          <w:tcPr>
            <w:tcW w:w="1048" w:type="pct"/>
            <w:noWrap/>
            <w:vAlign w:val="center"/>
          </w:tcPr>
          <w:p>
            <w:pPr>
              <w:widowControl/>
              <w:jc w:val="right"/>
              <w:textAlignment w:val="center"/>
              <w:rPr>
                <w:color w:val="000000"/>
                <w:sz w:val="22"/>
              </w:rPr>
            </w:pPr>
            <w:r>
              <w:rPr>
                <w:color w:val="000000"/>
                <w:kern w:val="0"/>
                <w:sz w:val="22"/>
              </w:rPr>
              <w:t>12.04%</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64</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机构特定的资本要求</w:t>
            </w:r>
          </w:p>
        </w:tc>
        <w:tc>
          <w:tcPr>
            <w:tcW w:w="1048" w:type="pct"/>
            <w:noWrap/>
            <w:vAlign w:val="center"/>
          </w:tcPr>
          <w:p>
            <w:pPr>
              <w:widowControl/>
              <w:jc w:val="right"/>
              <w:textAlignment w:val="center"/>
              <w:rPr>
                <w:color w:val="000000"/>
                <w:sz w:val="22"/>
              </w:rPr>
            </w:pPr>
            <w:r>
              <w:rPr>
                <w:color w:val="000000"/>
                <w:kern w:val="0"/>
                <w:sz w:val="22"/>
              </w:rPr>
              <w:t>2.75%</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65</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其中：储备资本要求</w:t>
            </w:r>
          </w:p>
        </w:tc>
        <w:tc>
          <w:tcPr>
            <w:tcW w:w="1048" w:type="pct"/>
            <w:noWrap/>
            <w:vAlign w:val="center"/>
          </w:tcPr>
          <w:p>
            <w:pPr>
              <w:widowControl/>
              <w:jc w:val="right"/>
              <w:textAlignment w:val="center"/>
              <w:rPr>
                <w:color w:val="000000"/>
                <w:sz w:val="22"/>
              </w:rPr>
            </w:pPr>
            <w:r>
              <w:rPr>
                <w:color w:val="000000"/>
                <w:kern w:val="0"/>
                <w:sz w:val="22"/>
              </w:rPr>
              <w:t>2.50%</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66</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其中：逆周期资本要求</w:t>
            </w:r>
          </w:p>
        </w:tc>
        <w:tc>
          <w:tcPr>
            <w:tcW w:w="1048" w:type="pct"/>
            <w:noWrap/>
            <w:vAlign w:val="center"/>
          </w:tcPr>
          <w:p>
            <w:pPr>
              <w:widowControl/>
              <w:jc w:val="right"/>
              <w:textAlignment w:val="center"/>
              <w:rPr>
                <w:color w:val="000000"/>
                <w:sz w:val="22"/>
              </w:rPr>
            </w:pPr>
            <w:r>
              <w:rPr>
                <w:color w:val="000000"/>
                <w:kern w:val="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67</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其中：全球系统重要性银行附加资本要求</w:t>
            </w:r>
          </w:p>
        </w:tc>
        <w:tc>
          <w:tcPr>
            <w:tcW w:w="1048" w:type="pct"/>
            <w:noWrap/>
            <w:vAlign w:val="center"/>
          </w:tcPr>
          <w:p>
            <w:pPr>
              <w:widowControl/>
              <w:jc w:val="right"/>
              <w:textAlignment w:val="center"/>
              <w:rPr>
                <w:color w:val="000000"/>
                <w:sz w:val="22"/>
              </w:rPr>
            </w:pPr>
            <w:r>
              <w:rPr>
                <w:color w:val="000000"/>
                <w:kern w:val="0"/>
                <w:sz w:val="22"/>
              </w:rPr>
              <w:t>0.25%</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68</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满足缓冲区的核心一级资本占风险加权资产的比例</w:t>
            </w:r>
          </w:p>
        </w:tc>
        <w:tc>
          <w:tcPr>
            <w:tcW w:w="1048" w:type="pct"/>
            <w:noWrap/>
            <w:vAlign w:val="center"/>
          </w:tcPr>
          <w:p>
            <w:pPr>
              <w:widowControl/>
              <w:jc w:val="right"/>
              <w:textAlignment w:val="center"/>
              <w:rPr>
                <w:color w:val="000000"/>
                <w:sz w:val="22"/>
              </w:rPr>
            </w:pPr>
            <w:r>
              <w:rPr>
                <w:color w:val="000000"/>
                <w:kern w:val="0"/>
                <w:sz w:val="22"/>
              </w:rPr>
              <w:t>3.93%</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231" w:type="pct"/>
            <w:gridSpan w:val="2"/>
            <w:noWrap/>
            <w:vAlign w:val="center"/>
          </w:tcPr>
          <w:p>
            <w:pPr>
              <w:widowControl/>
              <w:jc w:val="left"/>
              <w:rPr>
                <w:rFonts w:ascii="华文楷体" w:hAnsi="华文楷体" w:eastAsia="华文楷体" w:cs="宋体"/>
                <w:b/>
                <w:bCs/>
                <w:color w:val="000000"/>
                <w:kern w:val="0"/>
              </w:rPr>
            </w:pPr>
            <w:r>
              <w:rPr>
                <w:rFonts w:hint="eastAsia" w:ascii="华文楷体" w:hAnsi="华文楷体" w:eastAsia="华文楷体" w:cs="宋体"/>
                <w:b/>
                <w:bCs/>
                <w:color w:val="000000"/>
                <w:kern w:val="0"/>
              </w:rPr>
              <w:t>国内最低监管资本要求</w:t>
            </w:r>
          </w:p>
        </w:tc>
        <w:tc>
          <w:tcPr>
            <w:tcW w:w="1048" w:type="pct"/>
            <w:noWrap/>
            <w:vAlign w:val="center"/>
          </w:tcPr>
          <w:p>
            <w:pPr>
              <w:widowControl/>
              <w:jc w:val="right"/>
              <w:rPr>
                <w:rFonts w:ascii="宋体" w:hAnsi="宋体" w:cs="宋体"/>
                <w:color w:val="000000"/>
                <w:kern w:val="0"/>
              </w:rPr>
            </w:pPr>
            <w:r>
              <w:rPr>
                <w:rFonts w:hint="eastAsia" w:ascii="宋体" w:hAnsi="宋体" w:cs="宋体"/>
                <w:color w:val="000000"/>
                <w:kern w:val="0"/>
              </w:rPr>
              <w:t>　</w:t>
            </w:r>
          </w:p>
        </w:tc>
        <w:tc>
          <w:tcPr>
            <w:tcW w:w="720" w:type="pct"/>
            <w:noWrap/>
            <w:vAlign w:val="center"/>
          </w:tcPr>
          <w:p>
            <w:pPr>
              <w:jc w:val="right"/>
              <w:rPr>
                <w:rFonts w:ascii="宋体" w:hAnsi="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69</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核心一级资本充足率</w:t>
            </w:r>
          </w:p>
        </w:tc>
        <w:tc>
          <w:tcPr>
            <w:tcW w:w="1048" w:type="pct"/>
            <w:noWrap/>
            <w:vAlign w:val="center"/>
          </w:tcPr>
          <w:p>
            <w:pPr>
              <w:widowControl/>
              <w:jc w:val="right"/>
              <w:rPr>
                <w:color w:val="000000"/>
                <w:kern w:val="0"/>
                <w:sz w:val="22"/>
              </w:rPr>
            </w:pPr>
            <w:r>
              <w:rPr>
                <w:color w:val="000000"/>
                <w:sz w:val="22"/>
              </w:rPr>
              <w:t>5.00%</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70</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一级资本充足率</w:t>
            </w:r>
          </w:p>
        </w:tc>
        <w:tc>
          <w:tcPr>
            <w:tcW w:w="1048" w:type="pct"/>
            <w:noWrap/>
            <w:vAlign w:val="center"/>
          </w:tcPr>
          <w:p>
            <w:pPr>
              <w:jc w:val="right"/>
              <w:rPr>
                <w:color w:val="000000"/>
                <w:sz w:val="22"/>
              </w:rPr>
            </w:pPr>
            <w:r>
              <w:rPr>
                <w:color w:val="000000"/>
                <w:sz w:val="22"/>
              </w:rPr>
              <w:t>6.00%</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71</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资本充足率</w:t>
            </w:r>
          </w:p>
        </w:tc>
        <w:tc>
          <w:tcPr>
            <w:tcW w:w="1048" w:type="pct"/>
            <w:noWrap/>
            <w:vAlign w:val="center"/>
          </w:tcPr>
          <w:p>
            <w:pPr>
              <w:jc w:val="right"/>
              <w:rPr>
                <w:color w:val="000000"/>
                <w:sz w:val="22"/>
              </w:rPr>
            </w:pPr>
            <w:r>
              <w:rPr>
                <w:color w:val="000000"/>
                <w:sz w:val="22"/>
              </w:rPr>
              <w:t>8.00%</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231" w:type="pct"/>
            <w:gridSpan w:val="2"/>
            <w:noWrap/>
            <w:vAlign w:val="center"/>
          </w:tcPr>
          <w:p>
            <w:pPr>
              <w:widowControl/>
              <w:jc w:val="left"/>
              <w:rPr>
                <w:rFonts w:ascii="华文楷体" w:hAnsi="华文楷体" w:eastAsia="华文楷体" w:cs="宋体"/>
                <w:b/>
                <w:bCs/>
                <w:color w:val="000000"/>
                <w:kern w:val="0"/>
              </w:rPr>
            </w:pPr>
            <w:r>
              <w:rPr>
                <w:rFonts w:hint="eastAsia" w:ascii="华文楷体" w:hAnsi="华文楷体" w:eastAsia="华文楷体" w:cs="宋体"/>
                <w:b/>
                <w:bCs/>
                <w:color w:val="000000"/>
                <w:kern w:val="0"/>
              </w:rPr>
              <w:t>门槛扣除项中未扣除部分</w:t>
            </w:r>
          </w:p>
        </w:tc>
        <w:tc>
          <w:tcPr>
            <w:tcW w:w="1048" w:type="pct"/>
            <w:noWrap/>
            <w:vAlign w:val="center"/>
          </w:tcPr>
          <w:p>
            <w:pPr>
              <w:widowControl/>
              <w:jc w:val="right"/>
              <w:rPr>
                <w:rFonts w:ascii="宋体" w:hAnsi="宋体" w:cs="宋体"/>
                <w:color w:val="000000"/>
                <w:kern w:val="0"/>
              </w:rPr>
            </w:pPr>
            <w:r>
              <w:rPr>
                <w:rFonts w:hint="eastAsia" w:ascii="宋体" w:hAnsi="宋体" w:cs="宋体"/>
                <w:color w:val="000000"/>
                <w:kern w:val="0"/>
              </w:rPr>
              <w:t>　</w:t>
            </w:r>
          </w:p>
        </w:tc>
        <w:tc>
          <w:tcPr>
            <w:tcW w:w="720" w:type="pct"/>
            <w:noWrap/>
            <w:vAlign w:val="center"/>
          </w:tcPr>
          <w:p>
            <w:pPr>
              <w:jc w:val="right"/>
              <w:rPr>
                <w:rFonts w:ascii="宋体" w:hAnsi="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72</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对未并表金融机构的小额少数资本投资未扣除部分</w:t>
            </w:r>
          </w:p>
        </w:tc>
        <w:tc>
          <w:tcPr>
            <w:tcW w:w="1048" w:type="pct"/>
            <w:noWrap/>
            <w:vAlign w:val="center"/>
          </w:tcPr>
          <w:p>
            <w:pPr>
              <w:widowControl/>
              <w:jc w:val="right"/>
              <w:textAlignment w:val="center"/>
              <w:rPr>
                <w:color w:val="000000"/>
                <w:sz w:val="22"/>
              </w:rPr>
            </w:pPr>
            <w:r>
              <w:rPr>
                <w:color w:val="000000"/>
                <w:kern w:val="0"/>
                <w:sz w:val="22"/>
              </w:rPr>
              <w:t>4,360</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73</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对未并表金融机构的大额少数资本投资未扣除部分</w:t>
            </w:r>
          </w:p>
        </w:tc>
        <w:tc>
          <w:tcPr>
            <w:tcW w:w="1048" w:type="pct"/>
            <w:noWrap/>
            <w:vAlign w:val="center"/>
          </w:tcPr>
          <w:p>
            <w:pPr>
              <w:widowControl/>
              <w:jc w:val="right"/>
              <w:textAlignment w:val="center"/>
              <w:rPr>
                <w:color w:val="000000"/>
                <w:sz w:val="22"/>
              </w:rPr>
            </w:pPr>
            <w:r>
              <w:rPr>
                <w:color w:val="000000"/>
                <w:kern w:val="0"/>
                <w:sz w:val="22"/>
              </w:rPr>
              <w:t>475</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74</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抵押贷款服务权(扣除递延税负债)</w:t>
            </w:r>
          </w:p>
        </w:tc>
        <w:tc>
          <w:tcPr>
            <w:tcW w:w="1048" w:type="pct"/>
            <w:noWrap/>
            <w:vAlign w:val="center"/>
          </w:tcPr>
          <w:p>
            <w:pPr>
              <w:widowControl/>
              <w:jc w:val="right"/>
              <w:textAlignment w:val="center"/>
              <w:rPr>
                <w:rFonts w:ascii="华文楷体" w:hAnsi="华文楷体" w:eastAsia="华文楷体" w:cs="宋体"/>
                <w:color w:val="000000"/>
                <w:sz w:val="22"/>
              </w:rPr>
            </w:pPr>
            <w:r>
              <w:rPr>
                <w:rFonts w:hint="eastAsia" w:ascii="华文楷体" w:hAnsi="华文楷体" w:eastAsia="华文楷体" w:cs="华文楷体"/>
                <w:color w:val="000000"/>
                <w:kern w:val="0"/>
                <w:sz w:val="22"/>
              </w:rPr>
              <w:t>不适用</w:t>
            </w:r>
          </w:p>
        </w:tc>
        <w:tc>
          <w:tcPr>
            <w:tcW w:w="720" w:type="pct"/>
            <w:noWrap/>
            <w:vAlign w:val="center"/>
          </w:tcPr>
          <w:p>
            <w:pPr>
              <w:jc w:val="center"/>
              <w:rPr>
                <w:rFonts w:ascii="华文楷体" w:hAnsi="华文楷体" w:eastAsia="华文楷体"/>
                <w:color w:val="000000"/>
                <w:sz w:val="22"/>
              </w:rPr>
            </w:pPr>
            <w:r>
              <w:rPr>
                <w:rFonts w:hint="eastAsia" w:ascii="华文楷体" w:hAnsi="华文楷体" w:eastAsia="华文楷体"/>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75</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其他依赖于银行未来盈利的净递延税资产(扣除递延税负债)</w:t>
            </w:r>
          </w:p>
        </w:tc>
        <w:tc>
          <w:tcPr>
            <w:tcW w:w="1048" w:type="pct"/>
            <w:noWrap/>
            <w:vAlign w:val="center"/>
          </w:tcPr>
          <w:p>
            <w:pPr>
              <w:widowControl/>
              <w:jc w:val="right"/>
              <w:textAlignment w:val="center"/>
              <w:rPr>
                <w:rFonts w:hint="eastAsia" w:eastAsia="宋体"/>
                <w:color w:val="000000"/>
                <w:sz w:val="22"/>
                <w:lang w:val="en-US" w:eastAsia="zh-CN"/>
              </w:rPr>
            </w:pPr>
            <w:r>
              <w:rPr>
                <w:color w:val="000000"/>
                <w:kern w:val="0"/>
                <w:sz w:val="22"/>
              </w:rPr>
              <w:t>22,46</w:t>
            </w:r>
            <w:r>
              <w:rPr>
                <w:rFonts w:hint="eastAsia"/>
                <w:color w:val="000000"/>
                <w:kern w:val="0"/>
                <w:sz w:val="22"/>
                <w:lang w:val="en-US" w:eastAsia="zh-CN"/>
              </w:rPr>
              <w:t>5</w:t>
            </w:r>
          </w:p>
        </w:tc>
        <w:tc>
          <w:tcPr>
            <w:tcW w:w="720" w:type="pct"/>
            <w:noWrap/>
            <w:vAlign w:val="center"/>
          </w:tcPr>
          <w:p>
            <w:pPr>
              <w:jc w:val="center"/>
              <w:rPr>
                <w:rFonts w:ascii="宋体" w:hAnsi="宋体" w:cs="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231" w:type="pct"/>
            <w:gridSpan w:val="2"/>
            <w:noWrap/>
            <w:vAlign w:val="center"/>
          </w:tcPr>
          <w:p>
            <w:pPr>
              <w:widowControl/>
              <w:jc w:val="left"/>
              <w:rPr>
                <w:rFonts w:ascii="华文楷体" w:hAnsi="华文楷体" w:eastAsia="华文楷体" w:cs="宋体"/>
                <w:b/>
                <w:bCs/>
                <w:color w:val="000000"/>
                <w:kern w:val="0"/>
              </w:rPr>
            </w:pPr>
            <w:r>
              <w:rPr>
                <w:sz w:val="20"/>
                <w:szCs w:val="20"/>
              </w:rPr>
              <w:br w:type="page"/>
            </w:r>
            <w:r>
              <w:rPr>
                <w:rFonts w:hint="eastAsia" w:ascii="华文楷体" w:hAnsi="华文楷体" w:eastAsia="华文楷体" w:cs="宋体"/>
                <w:b/>
                <w:bCs/>
                <w:color w:val="000000"/>
                <w:kern w:val="0"/>
              </w:rPr>
              <w:t>可计入二级资本的超额贷款损失准备的限额</w:t>
            </w:r>
          </w:p>
        </w:tc>
        <w:tc>
          <w:tcPr>
            <w:tcW w:w="1048" w:type="pct"/>
            <w:noWrap/>
            <w:vAlign w:val="center"/>
          </w:tcPr>
          <w:p>
            <w:pPr>
              <w:widowControl/>
              <w:jc w:val="right"/>
              <w:rPr>
                <w:rFonts w:ascii="宋体" w:hAnsi="宋体" w:cs="宋体"/>
                <w:color w:val="000000"/>
                <w:kern w:val="0"/>
              </w:rPr>
            </w:pPr>
            <w:r>
              <w:rPr>
                <w:rFonts w:hint="eastAsia" w:ascii="宋体" w:hAnsi="宋体" w:cs="宋体"/>
                <w:color w:val="000000"/>
                <w:kern w:val="0"/>
              </w:rPr>
              <w:t>　</w:t>
            </w:r>
          </w:p>
        </w:tc>
        <w:tc>
          <w:tcPr>
            <w:tcW w:w="720" w:type="pct"/>
            <w:noWrap/>
            <w:vAlign w:val="center"/>
          </w:tcPr>
          <w:p>
            <w:pPr>
              <w:widowControl/>
              <w:jc w:val="center"/>
              <w:rPr>
                <w:rFonts w:ascii="宋体" w:hAnsi="宋体" w:cs="宋体"/>
                <w:color w:val="000000"/>
                <w:kern w:val="0"/>
              </w:rPr>
            </w:pPr>
            <w:r>
              <w:rPr>
                <w:rFonts w:hint="eastAsia" w:ascii="宋体" w:hAnsi="宋体" w:cs="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76</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权重法下，实际计提的贷款损失准备金额</w:t>
            </w:r>
          </w:p>
        </w:tc>
        <w:tc>
          <w:tcPr>
            <w:tcW w:w="2122" w:type="dxa"/>
            <w:noWrap/>
            <w:vAlign w:val="center"/>
          </w:tcPr>
          <w:p>
            <w:pPr>
              <w:keepNext w:val="0"/>
              <w:keepLines w:val="0"/>
              <w:widowControl/>
              <w:suppressLineNumbers w:val="0"/>
              <w:jc w:val="right"/>
              <w:textAlignment w:val="center"/>
              <w:rPr>
                <w:color w:val="000000"/>
                <w:kern w:val="0"/>
                <w:sz w:val="22"/>
              </w:rPr>
            </w:pPr>
            <w:r>
              <w:rPr>
                <w:rFonts w:hint="default" w:ascii="Times New Roman" w:hAnsi="Times New Roman" w:eastAsia="宋体" w:cs="Times New Roman"/>
                <w:i w:val="0"/>
                <w:iCs w:val="0"/>
                <w:color w:val="000000"/>
                <w:kern w:val="0"/>
                <w:sz w:val="22"/>
                <w:szCs w:val="22"/>
                <w:u w:val="none"/>
                <w:lang w:val="en-US" w:eastAsia="zh-CN" w:bidi="ar"/>
              </w:rPr>
              <w:t>48,169</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77</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权重法下，可计入二级资本超额贷款损失准备的数额</w:t>
            </w:r>
          </w:p>
        </w:tc>
        <w:tc>
          <w:tcPr>
            <w:tcW w:w="2122" w:type="dxa"/>
            <w:noWrap/>
            <w:vAlign w:val="center"/>
          </w:tcPr>
          <w:p>
            <w:pPr>
              <w:keepNext w:val="0"/>
              <w:keepLines w:val="0"/>
              <w:widowControl/>
              <w:suppressLineNumbers w:val="0"/>
              <w:jc w:val="right"/>
              <w:textAlignment w:val="center"/>
              <w:rPr>
                <w:color w:val="000000"/>
                <w:sz w:val="22"/>
              </w:rPr>
            </w:pPr>
            <w:r>
              <w:rPr>
                <w:rFonts w:hint="default" w:ascii="Times New Roman" w:hAnsi="Times New Roman" w:eastAsia="宋体" w:cs="Times New Roman"/>
                <w:i w:val="0"/>
                <w:iCs w:val="0"/>
                <w:color w:val="000000"/>
                <w:kern w:val="0"/>
                <w:sz w:val="22"/>
                <w:szCs w:val="22"/>
                <w:u w:val="none"/>
                <w:lang w:val="en-US" w:eastAsia="zh-CN" w:bidi="ar"/>
              </w:rPr>
              <w:t>23,780</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78</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内部评级法下，实际计提的超额贷款损失准备金额</w:t>
            </w:r>
          </w:p>
        </w:tc>
        <w:tc>
          <w:tcPr>
            <w:tcW w:w="1048" w:type="pct"/>
            <w:noWrap/>
            <w:vAlign w:val="center"/>
          </w:tcPr>
          <w:p>
            <w:pPr>
              <w:widowControl/>
              <w:jc w:val="right"/>
              <w:textAlignment w:val="center"/>
              <w:rPr>
                <w:rFonts w:ascii="华文楷体" w:hAnsi="华文楷体" w:eastAsia="华文楷体" w:cs="宋体"/>
                <w:color w:val="000000"/>
                <w:sz w:val="22"/>
              </w:rPr>
            </w:pPr>
            <w:r>
              <w:rPr>
                <w:rFonts w:hint="eastAsia" w:ascii="华文楷体" w:hAnsi="华文楷体" w:eastAsia="华文楷体" w:cs="华文楷体"/>
                <w:color w:val="000000"/>
                <w:kern w:val="0"/>
                <w:sz w:val="22"/>
              </w:rPr>
              <w:t>不适用</w:t>
            </w:r>
          </w:p>
        </w:tc>
        <w:tc>
          <w:tcPr>
            <w:tcW w:w="720" w:type="pct"/>
            <w:noWrap/>
            <w:vAlign w:val="center"/>
          </w:tcPr>
          <w:p>
            <w:pPr>
              <w:jc w:val="center"/>
              <w:rPr>
                <w:rFonts w:ascii="华文楷体" w:hAnsi="华文楷体" w:eastAsia="华文楷体"/>
                <w:color w:val="000000"/>
                <w:sz w:val="22"/>
              </w:rPr>
            </w:pPr>
            <w:r>
              <w:rPr>
                <w:rFonts w:hint="eastAsia" w:ascii="华文楷体" w:hAnsi="华文楷体" w:eastAsia="华文楷体"/>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79</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内部评级法下，可计入二级资本超额贷款损失准备的数额</w:t>
            </w:r>
          </w:p>
        </w:tc>
        <w:tc>
          <w:tcPr>
            <w:tcW w:w="1048" w:type="pct"/>
            <w:noWrap/>
            <w:vAlign w:val="center"/>
          </w:tcPr>
          <w:p>
            <w:pPr>
              <w:widowControl/>
              <w:jc w:val="right"/>
              <w:textAlignment w:val="center"/>
              <w:rPr>
                <w:rFonts w:ascii="华文楷体" w:hAnsi="华文楷体" w:eastAsia="华文楷体"/>
                <w:color w:val="000000"/>
                <w:sz w:val="22"/>
              </w:rPr>
            </w:pPr>
            <w:r>
              <w:rPr>
                <w:rFonts w:hint="eastAsia" w:ascii="华文楷体" w:hAnsi="华文楷体" w:eastAsia="华文楷体" w:cs="华文楷体"/>
                <w:color w:val="000000"/>
                <w:kern w:val="0"/>
                <w:sz w:val="22"/>
              </w:rPr>
              <w:t>不适用</w:t>
            </w:r>
          </w:p>
        </w:tc>
        <w:tc>
          <w:tcPr>
            <w:tcW w:w="720" w:type="pct"/>
            <w:noWrap/>
            <w:vAlign w:val="center"/>
          </w:tcPr>
          <w:p>
            <w:pPr>
              <w:jc w:val="center"/>
              <w:rPr>
                <w:rFonts w:ascii="华文楷体" w:hAnsi="华文楷体" w:eastAsia="华文楷体"/>
                <w:color w:val="000000"/>
                <w:sz w:val="22"/>
              </w:rPr>
            </w:pPr>
            <w:r>
              <w:rPr>
                <w:rFonts w:hint="eastAsia" w:ascii="华文楷体" w:hAnsi="华文楷体" w:eastAsia="华文楷体"/>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231" w:type="pct"/>
            <w:gridSpan w:val="2"/>
            <w:noWrap/>
            <w:vAlign w:val="center"/>
          </w:tcPr>
          <w:p>
            <w:pPr>
              <w:widowControl/>
              <w:jc w:val="left"/>
              <w:rPr>
                <w:rFonts w:ascii="华文楷体" w:hAnsi="华文楷体" w:eastAsia="华文楷体" w:cs="宋体"/>
                <w:b/>
                <w:bCs/>
                <w:color w:val="000000"/>
                <w:kern w:val="0"/>
              </w:rPr>
            </w:pPr>
            <w:r>
              <w:rPr>
                <w:rFonts w:hint="eastAsia" w:ascii="华文楷体" w:hAnsi="华文楷体" w:eastAsia="华文楷体" w:cs="宋体"/>
                <w:b/>
                <w:bCs/>
                <w:color w:val="000000"/>
                <w:kern w:val="0"/>
              </w:rPr>
              <w:t>符合退出安排的资本工具</w:t>
            </w:r>
          </w:p>
        </w:tc>
        <w:tc>
          <w:tcPr>
            <w:tcW w:w="1048" w:type="pct"/>
            <w:noWrap/>
            <w:vAlign w:val="center"/>
          </w:tcPr>
          <w:p>
            <w:pPr>
              <w:widowControl/>
              <w:jc w:val="right"/>
              <w:rPr>
                <w:rFonts w:ascii="宋体" w:hAnsi="宋体" w:cs="宋体"/>
                <w:color w:val="000000"/>
                <w:kern w:val="0"/>
              </w:rPr>
            </w:pPr>
            <w:r>
              <w:rPr>
                <w:rFonts w:hint="eastAsia" w:ascii="宋体" w:hAnsi="宋体" w:cs="宋体"/>
                <w:color w:val="000000"/>
                <w:kern w:val="0"/>
              </w:rPr>
              <w:t>　</w:t>
            </w:r>
          </w:p>
        </w:tc>
        <w:tc>
          <w:tcPr>
            <w:tcW w:w="720" w:type="pct"/>
            <w:noWrap/>
            <w:vAlign w:val="center"/>
          </w:tcPr>
          <w:p>
            <w:pPr>
              <w:jc w:val="right"/>
              <w:rPr>
                <w:rFonts w:ascii="宋体" w:hAnsi="宋体"/>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80</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因过渡期安排造成的当期可计入核心一级资本的数额</w:t>
            </w:r>
          </w:p>
        </w:tc>
        <w:tc>
          <w:tcPr>
            <w:tcW w:w="1048" w:type="pct"/>
            <w:noWrap/>
            <w:vAlign w:val="center"/>
          </w:tcPr>
          <w:p>
            <w:pPr>
              <w:jc w:val="right"/>
              <w:rPr>
                <w:color w:val="000000"/>
                <w:sz w:val="22"/>
              </w:rPr>
            </w:pPr>
            <w:r>
              <w:rPr>
                <w:color w:val="00000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81</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因过渡期安排造成的不可计入核心一级资本的数额</w:t>
            </w:r>
          </w:p>
        </w:tc>
        <w:tc>
          <w:tcPr>
            <w:tcW w:w="1048" w:type="pct"/>
            <w:noWrap/>
            <w:vAlign w:val="center"/>
          </w:tcPr>
          <w:p>
            <w:pPr>
              <w:jc w:val="right"/>
              <w:rPr>
                <w:color w:val="000000"/>
                <w:sz w:val="22"/>
              </w:rPr>
            </w:pPr>
            <w:r>
              <w:rPr>
                <w:color w:val="00000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82</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因过渡期安排造成的当期可计入其他一级资本的数额</w:t>
            </w:r>
          </w:p>
        </w:tc>
        <w:tc>
          <w:tcPr>
            <w:tcW w:w="1048" w:type="pct"/>
            <w:noWrap/>
            <w:vAlign w:val="center"/>
          </w:tcPr>
          <w:p>
            <w:pPr>
              <w:jc w:val="right"/>
              <w:rPr>
                <w:color w:val="000000"/>
                <w:sz w:val="22"/>
              </w:rPr>
            </w:pPr>
            <w:r>
              <w:rPr>
                <w:color w:val="00000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83</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因过渡期安排造成的不可计入其他一级资本的数额</w:t>
            </w:r>
          </w:p>
        </w:tc>
        <w:tc>
          <w:tcPr>
            <w:tcW w:w="1048" w:type="pct"/>
            <w:noWrap/>
            <w:vAlign w:val="center"/>
          </w:tcPr>
          <w:p>
            <w:pPr>
              <w:jc w:val="right"/>
              <w:rPr>
                <w:color w:val="000000"/>
                <w:sz w:val="22"/>
              </w:rPr>
            </w:pPr>
            <w:r>
              <w:rPr>
                <w:color w:val="00000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84</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因过渡期安排造成的当期可计入二级资本的数额</w:t>
            </w:r>
          </w:p>
        </w:tc>
        <w:tc>
          <w:tcPr>
            <w:tcW w:w="1048" w:type="pct"/>
            <w:noWrap/>
            <w:vAlign w:val="center"/>
          </w:tcPr>
          <w:p>
            <w:pPr>
              <w:jc w:val="right"/>
              <w:rPr>
                <w:color w:val="000000"/>
                <w:sz w:val="22"/>
              </w:rPr>
            </w:pPr>
            <w:r>
              <w:rPr>
                <w:color w:val="000000"/>
                <w:sz w:val="22"/>
              </w:rPr>
              <w:t>-</w:t>
            </w:r>
          </w:p>
        </w:tc>
        <w:tc>
          <w:tcPr>
            <w:tcW w:w="720" w:type="pct"/>
            <w:noWrap/>
            <w:vAlign w:val="center"/>
          </w:tcPr>
          <w:p>
            <w:pPr>
              <w:jc w:val="center"/>
              <w:rPr>
                <w:color w:val="000000"/>
                <w:sz w:val="22"/>
              </w:rPr>
            </w:pPr>
            <w:r>
              <w:rPr>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54" w:type="pct"/>
            <w:noWrap/>
            <w:vAlign w:val="center"/>
          </w:tcPr>
          <w:p>
            <w:pPr>
              <w:widowControl/>
              <w:rPr>
                <w:color w:val="000000"/>
                <w:kern w:val="0"/>
              </w:rPr>
            </w:pPr>
            <w:r>
              <w:rPr>
                <w:color w:val="000000"/>
                <w:kern w:val="0"/>
              </w:rPr>
              <w:t>85</w:t>
            </w:r>
          </w:p>
        </w:tc>
        <w:tc>
          <w:tcPr>
            <w:tcW w:w="2877" w:type="pct"/>
            <w:noWrap w:val="0"/>
            <w:vAlign w:val="center"/>
          </w:tcPr>
          <w:p>
            <w:pPr>
              <w:widowControl/>
              <w:rPr>
                <w:rFonts w:ascii="华文楷体" w:hAnsi="华文楷体" w:eastAsia="华文楷体" w:cs="宋体"/>
                <w:color w:val="000000"/>
                <w:kern w:val="0"/>
              </w:rPr>
            </w:pPr>
            <w:r>
              <w:rPr>
                <w:rFonts w:hint="eastAsia" w:ascii="华文楷体" w:hAnsi="华文楷体" w:eastAsia="华文楷体" w:cs="宋体"/>
                <w:color w:val="000000"/>
                <w:kern w:val="0"/>
              </w:rPr>
              <w:t>因过渡期安排造成的当期不可计入二级资本的数额</w:t>
            </w:r>
          </w:p>
        </w:tc>
        <w:tc>
          <w:tcPr>
            <w:tcW w:w="1048" w:type="pct"/>
            <w:noWrap/>
            <w:vAlign w:val="center"/>
          </w:tcPr>
          <w:p>
            <w:pPr>
              <w:jc w:val="right"/>
              <w:rPr>
                <w:color w:val="000000"/>
                <w:sz w:val="22"/>
              </w:rPr>
            </w:pPr>
            <w:r>
              <w:rPr>
                <w:color w:val="000000"/>
                <w:sz w:val="22"/>
              </w:rPr>
              <w:t>-</w:t>
            </w:r>
          </w:p>
        </w:tc>
        <w:tc>
          <w:tcPr>
            <w:tcW w:w="720" w:type="pct"/>
            <w:noWrap/>
            <w:vAlign w:val="center"/>
          </w:tcPr>
          <w:p>
            <w:pPr>
              <w:jc w:val="center"/>
              <w:rPr>
                <w:color w:val="000000"/>
                <w:sz w:val="22"/>
              </w:rPr>
            </w:pPr>
            <w:r>
              <w:rPr>
                <w:color w:val="000000"/>
                <w:sz w:val="22"/>
              </w:rPr>
              <w:t>　</w:t>
            </w:r>
          </w:p>
        </w:tc>
      </w:tr>
    </w:tbl>
    <w:p>
      <w:pPr>
        <w:rPr>
          <w:sz w:val="20"/>
          <w:szCs w:val="20"/>
        </w:rPr>
      </w:pPr>
    </w:p>
    <w:p>
      <w:pPr>
        <w:spacing w:line="0" w:lineRule="atLeast"/>
        <w:rPr>
          <w:sz w:val="20"/>
          <w:szCs w:val="20"/>
        </w:rPr>
      </w:pPr>
      <w:r>
        <w:rPr>
          <w:sz w:val="20"/>
          <w:szCs w:val="20"/>
        </w:rPr>
        <w:br w:type="page"/>
      </w:r>
      <w:r>
        <w:rPr>
          <w:rFonts w:hint="eastAsia"/>
          <w:b/>
          <w:sz w:val="20"/>
          <w:szCs w:val="20"/>
        </w:rPr>
        <w:t>（</w:t>
      </w:r>
      <w:r>
        <w:rPr>
          <w:rFonts w:hint="eastAsia" w:eastAsia="华文楷体"/>
          <w:b/>
          <w:sz w:val="24"/>
          <w:szCs w:val="24"/>
        </w:rPr>
        <w:t>二）集团口径的资产负债表</w:t>
      </w:r>
    </w:p>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单位：百万元（人民币）</w:t>
      </w:r>
    </w:p>
    <w:tbl>
      <w:tblPr>
        <w:tblStyle w:val="6"/>
        <w:tblW w:w="996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45"/>
        <w:gridCol w:w="3200"/>
        <w:gridCol w:w="3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b/>
                <w:bCs/>
                <w:color w:val="000000"/>
                <w:kern w:val="0"/>
                <w:szCs w:val="23"/>
              </w:rPr>
            </w:pPr>
            <w:r>
              <w:rPr>
                <w:rFonts w:hint="eastAsia" w:ascii="华文楷体" w:hAnsi="华文楷体" w:eastAsia="华文楷体" w:cs="宋体"/>
                <w:b/>
                <w:bCs/>
                <w:color w:val="000000"/>
                <w:kern w:val="0"/>
                <w:szCs w:val="23"/>
              </w:rPr>
              <w:t>资产</w:t>
            </w:r>
          </w:p>
        </w:tc>
        <w:tc>
          <w:tcPr>
            <w:tcW w:w="3200"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银行公布的合并资产负债表</w:t>
            </w:r>
          </w:p>
        </w:tc>
        <w:tc>
          <w:tcPr>
            <w:tcW w:w="3320"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监管并表口径下的资产负债表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现金及存放中央银行款项</w:t>
            </w:r>
          </w:p>
        </w:tc>
        <w:tc>
          <w:tcPr>
            <w:tcW w:w="3200" w:type="dxa"/>
            <w:noWrap/>
            <w:vAlign w:val="center"/>
          </w:tcPr>
          <w:p>
            <w:pPr>
              <w:widowControl/>
              <w:jc w:val="right"/>
              <w:textAlignment w:val="center"/>
              <w:rPr>
                <w:color w:val="000000"/>
                <w:kern w:val="0"/>
                <w:sz w:val="23"/>
                <w:szCs w:val="23"/>
              </w:rPr>
            </w:pPr>
            <w:r>
              <w:rPr>
                <w:color w:val="000000"/>
                <w:kern w:val="0"/>
                <w:sz w:val="23"/>
                <w:szCs w:val="23"/>
              </w:rPr>
              <w:t>148,011</w:t>
            </w:r>
          </w:p>
        </w:tc>
        <w:tc>
          <w:tcPr>
            <w:tcW w:w="3320" w:type="dxa"/>
            <w:noWrap/>
            <w:vAlign w:val="center"/>
          </w:tcPr>
          <w:p>
            <w:pPr>
              <w:widowControl/>
              <w:jc w:val="right"/>
              <w:textAlignment w:val="center"/>
              <w:rPr>
                <w:color w:val="000000"/>
                <w:sz w:val="23"/>
                <w:szCs w:val="23"/>
              </w:rPr>
            </w:pPr>
            <w:r>
              <w:rPr>
                <w:color w:val="000000"/>
                <w:kern w:val="0"/>
                <w:sz w:val="23"/>
                <w:szCs w:val="23"/>
              </w:rPr>
              <w:t>148,011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存放同业及其他金融机构款项</w:t>
            </w:r>
          </w:p>
        </w:tc>
        <w:tc>
          <w:tcPr>
            <w:tcW w:w="3200" w:type="dxa"/>
            <w:noWrap/>
            <w:vAlign w:val="center"/>
          </w:tcPr>
          <w:p>
            <w:pPr>
              <w:widowControl/>
              <w:jc w:val="right"/>
              <w:textAlignment w:val="center"/>
              <w:rPr>
                <w:color w:val="000000"/>
                <w:sz w:val="23"/>
                <w:szCs w:val="23"/>
              </w:rPr>
            </w:pPr>
            <w:r>
              <w:rPr>
                <w:color w:val="000000"/>
                <w:kern w:val="0"/>
                <w:sz w:val="23"/>
                <w:szCs w:val="23"/>
              </w:rPr>
              <w:t>20,437</w:t>
            </w:r>
          </w:p>
        </w:tc>
        <w:tc>
          <w:tcPr>
            <w:tcW w:w="3320" w:type="dxa"/>
            <w:noWrap/>
            <w:vAlign w:val="center"/>
          </w:tcPr>
          <w:p>
            <w:pPr>
              <w:widowControl/>
              <w:jc w:val="right"/>
              <w:textAlignment w:val="center"/>
              <w:rPr>
                <w:color w:val="000000"/>
                <w:sz w:val="23"/>
                <w:szCs w:val="23"/>
              </w:rPr>
            </w:pPr>
            <w:r>
              <w:rPr>
                <w:color w:val="000000"/>
                <w:kern w:val="0"/>
                <w:sz w:val="23"/>
                <w:szCs w:val="23"/>
              </w:rPr>
              <w:t>20,437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拆出资金</w:t>
            </w:r>
          </w:p>
        </w:tc>
        <w:tc>
          <w:tcPr>
            <w:tcW w:w="3200" w:type="dxa"/>
            <w:noWrap/>
            <w:vAlign w:val="center"/>
          </w:tcPr>
          <w:p>
            <w:pPr>
              <w:widowControl/>
              <w:jc w:val="right"/>
              <w:textAlignment w:val="center"/>
              <w:rPr>
                <w:color w:val="000000"/>
                <w:sz w:val="23"/>
                <w:szCs w:val="23"/>
              </w:rPr>
            </w:pPr>
            <w:r>
              <w:rPr>
                <w:color w:val="000000"/>
                <w:kern w:val="0"/>
                <w:sz w:val="23"/>
                <w:szCs w:val="23"/>
              </w:rPr>
              <w:t>197,183</w:t>
            </w:r>
          </w:p>
        </w:tc>
        <w:tc>
          <w:tcPr>
            <w:tcW w:w="3320" w:type="dxa"/>
            <w:noWrap/>
            <w:vAlign w:val="center"/>
          </w:tcPr>
          <w:p>
            <w:pPr>
              <w:widowControl/>
              <w:jc w:val="right"/>
              <w:textAlignment w:val="center"/>
              <w:rPr>
                <w:color w:val="000000"/>
                <w:sz w:val="23"/>
                <w:szCs w:val="23"/>
              </w:rPr>
            </w:pPr>
            <w:r>
              <w:rPr>
                <w:color w:val="000000"/>
                <w:kern w:val="0"/>
                <w:sz w:val="23"/>
                <w:szCs w:val="23"/>
              </w:rPr>
              <w:t>197,183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445" w:type="dxa"/>
            <w:noWrap w:val="0"/>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衍生金融资产</w:t>
            </w:r>
          </w:p>
        </w:tc>
        <w:tc>
          <w:tcPr>
            <w:tcW w:w="3200" w:type="dxa"/>
            <w:noWrap/>
            <w:vAlign w:val="center"/>
          </w:tcPr>
          <w:p>
            <w:pPr>
              <w:widowControl/>
              <w:jc w:val="right"/>
              <w:textAlignment w:val="center"/>
              <w:rPr>
                <w:color w:val="000000"/>
                <w:sz w:val="23"/>
                <w:szCs w:val="23"/>
              </w:rPr>
            </w:pPr>
            <w:r>
              <w:rPr>
                <w:color w:val="000000"/>
                <w:kern w:val="0"/>
                <w:sz w:val="23"/>
                <w:szCs w:val="23"/>
              </w:rPr>
              <w:t>11,388</w:t>
            </w:r>
          </w:p>
        </w:tc>
        <w:tc>
          <w:tcPr>
            <w:tcW w:w="3320" w:type="dxa"/>
            <w:noWrap/>
            <w:vAlign w:val="center"/>
          </w:tcPr>
          <w:p>
            <w:pPr>
              <w:widowControl/>
              <w:jc w:val="right"/>
              <w:textAlignment w:val="center"/>
              <w:rPr>
                <w:color w:val="000000"/>
                <w:sz w:val="23"/>
                <w:szCs w:val="23"/>
              </w:rPr>
            </w:pPr>
            <w:r>
              <w:rPr>
                <w:color w:val="000000"/>
                <w:kern w:val="0"/>
                <w:sz w:val="23"/>
                <w:szCs w:val="23"/>
              </w:rPr>
              <w:t>11,388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买入返售金融资产</w:t>
            </w:r>
          </w:p>
        </w:tc>
        <w:tc>
          <w:tcPr>
            <w:tcW w:w="3200" w:type="dxa"/>
            <w:noWrap/>
            <w:vAlign w:val="center"/>
          </w:tcPr>
          <w:p>
            <w:pPr>
              <w:widowControl/>
              <w:jc w:val="right"/>
              <w:textAlignment w:val="center"/>
              <w:rPr>
                <w:color w:val="000000"/>
                <w:sz w:val="23"/>
                <w:szCs w:val="23"/>
              </w:rPr>
            </w:pPr>
            <w:r>
              <w:rPr>
                <w:color w:val="000000"/>
                <w:kern w:val="0"/>
                <w:sz w:val="23"/>
                <w:szCs w:val="23"/>
              </w:rPr>
              <w:t>26,396</w:t>
            </w:r>
          </w:p>
        </w:tc>
        <w:tc>
          <w:tcPr>
            <w:tcW w:w="3320" w:type="dxa"/>
            <w:noWrap/>
            <w:vAlign w:val="center"/>
          </w:tcPr>
          <w:p>
            <w:pPr>
              <w:widowControl/>
              <w:jc w:val="right"/>
              <w:textAlignment w:val="center"/>
              <w:rPr>
                <w:color w:val="000000"/>
                <w:sz w:val="23"/>
                <w:szCs w:val="23"/>
              </w:rPr>
            </w:pPr>
            <w:r>
              <w:rPr>
                <w:color w:val="000000"/>
                <w:kern w:val="0"/>
                <w:sz w:val="23"/>
                <w:szCs w:val="23"/>
              </w:rPr>
              <w:t>26,396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发放贷款和垫款</w:t>
            </w:r>
          </w:p>
        </w:tc>
        <w:tc>
          <w:tcPr>
            <w:tcW w:w="3200" w:type="dxa"/>
            <w:noWrap/>
            <w:vAlign w:val="center"/>
          </w:tcPr>
          <w:p>
            <w:pPr>
              <w:widowControl/>
              <w:jc w:val="right"/>
              <w:textAlignment w:val="center"/>
              <w:rPr>
                <w:color w:val="000000"/>
                <w:sz w:val="23"/>
                <w:szCs w:val="23"/>
              </w:rPr>
            </w:pPr>
            <w:r>
              <w:rPr>
                <w:color w:val="000000"/>
                <w:kern w:val="0"/>
                <w:sz w:val="23"/>
                <w:szCs w:val="23"/>
              </w:rPr>
              <w:t>1,235,830</w:t>
            </w:r>
          </w:p>
        </w:tc>
        <w:tc>
          <w:tcPr>
            <w:tcW w:w="3320" w:type="dxa"/>
            <w:noWrap/>
            <w:vAlign w:val="center"/>
          </w:tcPr>
          <w:p>
            <w:pPr>
              <w:widowControl/>
              <w:jc w:val="right"/>
              <w:textAlignment w:val="center"/>
              <w:rPr>
                <w:color w:val="000000"/>
                <w:sz w:val="23"/>
                <w:szCs w:val="23"/>
              </w:rPr>
            </w:pPr>
            <w:r>
              <w:rPr>
                <w:color w:val="000000"/>
                <w:kern w:val="0"/>
                <w:sz w:val="23"/>
                <w:szCs w:val="23"/>
              </w:rPr>
              <w:t>1,235,830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金融投资：</w:t>
            </w:r>
          </w:p>
        </w:tc>
        <w:tc>
          <w:tcPr>
            <w:tcW w:w="3200" w:type="dxa"/>
            <w:noWrap/>
            <w:vAlign w:val="center"/>
          </w:tcPr>
          <w:p>
            <w:pPr>
              <w:rPr>
                <w:color w:val="000000"/>
                <w:sz w:val="23"/>
                <w:szCs w:val="23"/>
              </w:rPr>
            </w:pPr>
          </w:p>
        </w:tc>
        <w:tc>
          <w:tcPr>
            <w:tcW w:w="3320" w:type="dxa"/>
            <w:noWrap/>
            <w:vAlign w:val="center"/>
          </w:tcPr>
          <w:p>
            <w:pPr>
              <w:widowControl/>
              <w:jc w:val="right"/>
              <w:textAlignment w:val="center"/>
              <w:rPr>
                <w:color w:val="000000"/>
                <w:sz w:val="23"/>
                <w:szCs w:val="23"/>
              </w:rPr>
            </w:pPr>
            <w:r>
              <w:rPr>
                <w:color w:val="000000"/>
                <w:kern w:val="0"/>
                <w:sz w:val="23"/>
                <w:szCs w:val="23"/>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-交易性金融资产</w:t>
            </w:r>
          </w:p>
        </w:tc>
        <w:tc>
          <w:tcPr>
            <w:tcW w:w="3200" w:type="dxa"/>
            <w:noWrap/>
            <w:vAlign w:val="center"/>
          </w:tcPr>
          <w:p>
            <w:pPr>
              <w:widowControl/>
              <w:jc w:val="right"/>
              <w:textAlignment w:val="center"/>
              <w:rPr>
                <w:color w:val="000000"/>
                <w:sz w:val="23"/>
                <w:szCs w:val="23"/>
              </w:rPr>
            </w:pPr>
            <w:r>
              <w:rPr>
                <w:color w:val="000000"/>
                <w:kern w:val="0"/>
                <w:sz w:val="23"/>
                <w:szCs w:val="23"/>
              </w:rPr>
              <w:t>283,503</w:t>
            </w:r>
          </w:p>
        </w:tc>
        <w:tc>
          <w:tcPr>
            <w:tcW w:w="3320" w:type="dxa"/>
            <w:noWrap/>
            <w:vAlign w:val="center"/>
          </w:tcPr>
          <w:p>
            <w:pPr>
              <w:widowControl/>
              <w:jc w:val="right"/>
              <w:textAlignment w:val="center"/>
              <w:rPr>
                <w:color w:val="000000"/>
                <w:sz w:val="23"/>
                <w:szCs w:val="23"/>
              </w:rPr>
            </w:pPr>
            <w:r>
              <w:rPr>
                <w:color w:val="000000"/>
                <w:kern w:val="0"/>
                <w:sz w:val="23"/>
                <w:szCs w:val="23"/>
              </w:rPr>
              <w:t>283,503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-债权投资</w:t>
            </w:r>
          </w:p>
        </w:tc>
        <w:tc>
          <w:tcPr>
            <w:tcW w:w="3200" w:type="dxa"/>
            <w:noWrap/>
            <w:vAlign w:val="center"/>
          </w:tcPr>
          <w:p>
            <w:pPr>
              <w:widowControl/>
              <w:jc w:val="right"/>
              <w:textAlignment w:val="center"/>
              <w:rPr>
                <w:color w:val="000000"/>
                <w:sz w:val="23"/>
                <w:szCs w:val="23"/>
              </w:rPr>
            </w:pPr>
            <w:r>
              <w:rPr>
                <w:color w:val="000000"/>
                <w:kern w:val="0"/>
                <w:sz w:val="23"/>
                <w:szCs w:val="23"/>
              </w:rPr>
              <w:t>771,939</w:t>
            </w:r>
          </w:p>
        </w:tc>
        <w:tc>
          <w:tcPr>
            <w:tcW w:w="3320" w:type="dxa"/>
            <w:noWrap/>
            <w:vAlign w:val="center"/>
          </w:tcPr>
          <w:p>
            <w:pPr>
              <w:widowControl/>
              <w:jc w:val="right"/>
              <w:textAlignment w:val="center"/>
              <w:rPr>
                <w:color w:val="000000"/>
                <w:sz w:val="23"/>
                <w:szCs w:val="23"/>
              </w:rPr>
            </w:pPr>
            <w:r>
              <w:rPr>
                <w:color w:val="000000"/>
                <w:kern w:val="0"/>
                <w:sz w:val="23"/>
                <w:szCs w:val="23"/>
              </w:rPr>
              <w:t>771,939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-其他债权投资</w:t>
            </w:r>
          </w:p>
        </w:tc>
        <w:tc>
          <w:tcPr>
            <w:tcW w:w="3200" w:type="dxa"/>
            <w:noWrap/>
            <w:vAlign w:val="center"/>
          </w:tcPr>
          <w:p>
            <w:pPr>
              <w:widowControl/>
              <w:jc w:val="right"/>
              <w:textAlignment w:val="center"/>
              <w:rPr>
                <w:color w:val="000000"/>
                <w:sz w:val="23"/>
                <w:szCs w:val="23"/>
              </w:rPr>
            </w:pPr>
            <w:r>
              <w:rPr>
                <w:color w:val="000000"/>
                <w:kern w:val="0"/>
                <w:sz w:val="23"/>
                <w:szCs w:val="23"/>
              </w:rPr>
              <w:t>57,262</w:t>
            </w:r>
          </w:p>
        </w:tc>
        <w:tc>
          <w:tcPr>
            <w:tcW w:w="3320" w:type="dxa"/>
            <w:noWrap/>
            <w:vAlign w:val="center"/>
          </w:tcPr>
          <w:p>
            <w:pPr>
              <w:widowControl/>
              <w:jc w:val="right"/>
              <w:textAlignment w:val="center"/>
              <w:rPr>
                <w:color w:val="000000"/>
                <w:sz w:val="23"/>
                <w:szCs w:val="23"/>
              </w:rPr>
            </w:pPr>
            <w:r>
              <w:rPr>
                <w:color w:val="000000"/>
                <w:kern w:val="0"/>
                <w:sz w:val="23"/>
                <w:szCs w:val="23"/>
              </w:rPr>
              <w:t>57,262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-其他权益工具投资</w:t>
            </w:r>
          </w:p>
        </w:tc>
        <w:tc>
          <w:tcPr>
            <w:tcW w:w="3200" w:type="dxa"/>
            <w:noWrap/>
            <w:vAlign w:val="center"/>
          </w:tcPr>
          <w:p>
            <w:pPr>
              <w:widowControl/>
              <w:jc w:val="right"/>
              <w:textAlignment w:val="center"/>
              <w:rPr>
                <w:color w:val="000000"/>
                <w:sz w:val="23"/>
                <w:szCs w:val="23"/>
              </w:rPr>
            </w:pPr>
            <w:r>
              <w:rPr>
                <w:color w:val="000000"/>
                <w:kern w:val="0"/>
                <w:sz w:val="23"/>
                <w:szCs w:val="23"/>
              </w:rPr>
              <w:t>817</w:t>
            </w:r>
          </w:p>
        </w:tc>
        <w:tc>
          <w:tcPr>
            <w:tcW w:w="3320" w:type="dxa"/>
            <w:noWrap/>
            <w:vAlign w:val="center"/>
          </w:tcPr>
          <w:p>
            <w:pPr>
              <w:widowControl/>
              <w:jc w:val="right"/>
              <w:textAlignment w:val="center"/>
              <w:rPr>
                <w:color w:val="000000"/>
                <w:sz w:val="23"/>
                <w:szCs w:val="23"/>
              </w:rPr>
            </w:pPr>
            <w:r>
              <w:rPr>
                <w:color w:val="000000"/>
                <w:kern w:val="0"/>
                <w:sz w:val="23"/>
                <w:szCs w:val="23"/>
              </w:rPr>
              <w:t>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长期股权投资</w:t>
            </w:r>
          </w:p>
        </w:tc>
        <w:tc>
          <w:tcPr>
            <w:tcW w:w="3200" w:type="dxa"/>
            <w:noWrap/>
            <w:vAlign w:val="center"/>
          </w:tcPr>
          <w:p>
            <w:pPr>
              <w:widowControl/>
              <w:jc w:val="right"/>
              <w:textAlignment w:val="center"/>
              <w:rPr>
                <w:color w:val="000000"/>
                <w:sz w:val="23"/>
                <w:szCs w:val="23"/>
              </w:rPr>
            </w:pPr>
            <w:r>
              <w:rPr>
                <w:color w:val="000000"/>
                <w:kern w:val="0"/>
                <w:sz w:val="23"/>
                <w:szCs w:val="23"/>
              </w:rPr>
              <w:t>479</w:t>
            </w:r>
          </w:p>
        </w:tc>
        <w:tc>
          <w:tcPr>
            <w:tcW w:w="3320" w:type="dxa"/>
            <w:noWrap/>
            <w:vAlign w:val="center"/>
          </w:tcPr>
          <w:p>
            <w:pPr>
              <w:widowControl/>
              <w:jc w:val="right"/>
              <w:textAlignment w:val="center"/>
              <w:rPr>
                <w:color w:val="000000"/>
                <w:sz w:val="23"/>
                <w:szCs w:val="23"/>
              </w:rPr>
            </w:pPr>
            <w:r>
              <w:rPr>
                <w:color w:val="000000"/>
                <w:kern w:val="0"/>
                <w:sz w:val="23"/>
                <w:szCs w:val="23"/>
              </w:rPr>
              <w:t>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固定资产</w:t>
            </w:r>
          </w:p>
        </w:tc>
        <w:tc>
          <w:tcPr>
            <w:tcW w:w="3200" w:type="dxa"/>
            <w:noWrap/>
            <w:vAlign w:val="center"/>
          </w:tcPr>
          <w:p>
            <w:pPr>
              <w:widowControl/>
              <w:jc w:val="right"/>
              <w:textAlignment w:val="center"/>
              <w:rPr>
                <w:color w:val="000000"/>
                <w:sz w:val="23"/>
                <w:szCs w:val="23"/>
              </w:rPr>
            </w:pPr>
            <w:r>
              <w:rPr>
                <w:color w:val="000000"/>
                <w:kern w:val="0"/>
                <w:sz w:val="23"/>
                <w:szCs w:val="23"/>
              </w:rPr>
              <w:t>9,758</w:t>
            </w:r>
          </w:p>
        </w:tc>
        <w:tc>
          <w:tcPr>
            <w:tcW w:w="3320" w:type="dxa"/>
            <w:noWrap/>
            <w:vAlign w:val="center"/>
          </w:tcPr>
          <w:p>
            <w:pPr>
              <w:widowControl/>
              <w:jc w:val="right"/>
              <w:textAlignment w:val="center"/>
              <w:rPr>
                <w:color w:val="000000"/>
                <w:sz w:val="23"/>
                <w:szCs w:val="23"/>
              </w:rPr>
            </w:pPr>
            <w:r>
              <w:rPr>
                <w:color w:val="000000"/>
                <w:kern w:val="0"/>
                <w:sz w:val="23"/>
                <w:szCs w:val="23"/>
              </w:rPr>
              <w:t>9,758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无形资产</w:t>
            </w:r>
          </w:p>
        </w:tc>
        <w:tc>
          <w:tcPr>
            <w:tcW w:w="3200" w:type="dxa"/>
            <w:noWrap/>
            <w:vAlign w:val="center"/>
          </w:tcPr>
          <w:p>
            <w:pPr>
              <w:widowControl/>
              <w:jc w:val="right"/>
              <w:textAlignment w:val="center"/>
              <w:rPr>
                <w:color w:val="000000"/>
                <w:sz w:val="23"/>
                <w:szCs w:val="23"/>
              </w:rPr>
            </w:pPr>
            <w:r>
              <w:rPr>
                <w:color w:val="000000"/>
                <w:kern w:val="0"/>
                <w:sz w:val="23"/>
                <w:szCs w:val="23"/>
              </w:rPr>
              <w:t>1,187</w:t>
            </w:r>
          </w:p>
        </w:tc>
        <w:tc>
          <w:tcPr>
            <w:tcW w:w="3320" w:type="dxa"/>
            <w:noWrap/>
            <w:vAlign w:val="center"/>
          </w:tcPr>
          <w:p>
            <w:pPr>
              <w:widowControl/>
              <w:jc w:val="right"/>
              <w:textAlignment w:val="center"/>
              <w:rPr>
                <w:color w:val="000000"/>
                <w:sz w:val="23"/>
                <w:szCs w:val="23"/>
              </w:rPr>
            </w:pPr>
            <w:r>
              <w:rPr>
                <w:color w:val="000000"/>
                <w:kern w:val="0"/>
                <w:sz w:val="23"/>
                <w:szCs w:val="23"/>
              </w:rPr>
              <w:t>1,187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递延所得税资产</w:t>
            </w:r>
          </w:p>
        </w:tc>
        <w:tc>
          <w:tcPr>
            <w:tcW w:w="3200" w:type="dxa"/>
            <w:noWrap/>
            <w:vAlign w:val="center"/>
          </w:tcPr>
          <w:p>
            <w:pPr>
              <w:widowControl/>
              <w:jc w:val="right"/>
              <w:textAlignment w:val="center"/>
              <w:rPr>
                <w:color w:val="000000"/>
                <w:sz w:val="23"/>
                <w:szCs w:val="23"/>
              </w:rPr>
            </w:pPr>
            <w:r>
              <w:rPr>
                <w:color w:val="000000"/>
                <w:kern w:val="0"/>
                <w:sz w:val="23"/>
                <w:szCs w:val="23"/>
              </w:rPr>
              <w:t>22,466</w:t>
            </w:r>
          </w:p>
        </w:tc>
        <w:tc>
          <w:tcPr>
            <w:tcW w:w="3320" w:type="dxa"/>
            <w:noWrap/>
            <w:vAlign w:val="center"/>
          </w:tcPr>
          <w:p>
            <w:pPr>
              <w:widowControl/>
              <w:jc w:val="right"/>
              <w:textAlignment w:val="center"/>
              <w:rPr>
                <w:color w:val="000000"/>
                <w:sz w:val="23"/>
                <w:szCs w:val="23"/>
              </w:rPr>
            </w:pPr>
            <w:r>
              <w:rPr>
                <w:color w:val="000000"/>
                <w:kern w:val="0"/>
                <w:sz w:val="23"/>
                <w:szCs w:val="23"/>
              </w:rPr>
              <w:t>22,466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其他资产</w:t>
            </w:r>
          </w:p>
        </w:tc>
        <w:tc>
          <w:tcPr>
            <w:tcW w:w="3200" w:type="dxa"/>
            <w:noWrap/>
            <w:vAlign w:val="center"/>
          </w:tcPr>
          <w:p>
            <w:pPr>
              <w:widowControl/>
              <w:jc w:val="right"/>
              <w:textAlignment w:val="center"/>
              <w:rPr>
                <w:color w:val="000000"/>
                <w:sz w:val="23"/>
                <w:szCs w:val="23"/>
              </w:rPr>
            </w:pPr>
            <w:r>
              <w:rPr>
                <w:color w:val="000000"/>
                <w:kern w:val="0"/>
                <w:sz w:val="23"/>
                <w:szCs w:val="23"/>
              </w:rPr>
              <w:t>26,229</w:t>
            </w:r>
          </w:p>
        </w:tc>
        <w:tc>
          <w:tcPr>
            <w:tcW w:w="3320" w:type="dxa"/>
            <w:noWrap/>
            <w:vAlign w:val="center"/>
          </w:tcPr>
          <w:p>
            <w:pPr>
              <w:widowControl/>
              <w:jc w:val="right"/>
              <w:textAlignment w:val="center"/>
              <w:rPr>
                <w:color w:val="000000"/>
                <w:sz w:val="23"/>
                <w:szCs w:val="23"/>
              </w:rPr>
            </w:pPr>
            <w:r>
              <w:rPr>
                <w:color w:val="000000"/>
                <w:kern w:val="0"/>
                <w:sz w:val="23"/>
                <w:szCs w:val="23"/>
              </w:rPr>
              <w:t>26,229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b/>
                <w:color w:val="000000"/>
                <w:kern w:val="0"/>
                <w:szCs w:val="23"/>
              </w:rPr>
            </w:pPr>
            <w:r>
              <w:rPr>
                <w:rFonts w:hint="eastAsia" w:ascii="华文楷体" w:hAnsi="华文楷体" w:eastAsia="华文楷体" w:cs="宋体"/>
                <w:b/>
                <w:color w:val="000000"/>
                <w:kern w:val="0"/>
                <w:szCs w:val="23"/>
              </w:rPr>
              <w:t>资产总计</w:t>
            </w:r>
          </w:p>
        </w:tc>
        <w:tc>
          <w:tcPr>
            <w:tcW w:w="3200" w:type="dxa"/>
            <w:noWrap/>
            <w:vAlign w:val="center"/>
          </w:tcPr>
          <w:p>
            <w:pPr>
              <w:widowControl/>
              <w:jc w:val="right"/>
              <w:textAlignment w:val="center"/>
              <w:rPr>
                <w:b/>
                <w:bCs/>
                <w:color w:val="000000"/>
                <w:sz w:val="23"/>
                <w:szCs w:val="23"/>
              </w:rPr>
            </w:pPr>
            <w:r>
              <w:rPr>
                <w:b/>
                <w:bCs/>
                <w:color w:val="000000"/>
                <w:kern w:val="0"/>
                <w:sz w:val="23"/>
                <w:szCs w:val="23"/>
              </w:rPr>
              <w:t>2,814,653</w:t>
            </w:r>
          </w:p>
        </w:tc>
        <w:tc>
          <w:tcPr>
            <w:tcW w:w="3320" w:type="dxa"/>
            <w:noWrap/>
            <w:vAlign w:val="center"/>
          </w:tcPr>
          <w:p>
            <w:pPr>
              <w:widowControl/>
              <w:jc w:val="right"/>
              <w:textAlignment w:val="center"/>
              <w:rPr>
                <w:b/>
                <w:bCs/>
                <w:color w:val="000000"/>
                <w:sz w:val="23"/>
                <w:szCs w:val="23"/>
              </w:rPr>
            </w:pPr>
            <w:r>
              <w:rPr>
                <w:b/>
                <w:bCs/>
                <w:color w:val="000000"/>
                <w:kern w:val="0"/>
                <w:sz w:val="23"/>
                <w:szCs w:val="23"/>
              </w:rPr>
              <w:t>2,814,653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3445" w:type="dxa"/>
            <w:noWrap/>
            <w:vAlign w:val="center"/>
          </w:tcPr>
          <w:p>
            <w:pPr>
              <w:widowControl/>
              <w:jc w:val="left"/>
              <w:rPr>
                <w:rFonts w:ascii="华文楷体" w:hAnsi="华文楷体" w:eastAsia="华文楷体" w:cs="宋体"/>
                <w:b/>
                <w:color w:val="000000"/>
                <w:kern w:val="0"/>
                <w:szCs w:val="23"/>
              </w:rPr>
            </w:pPr>
            <w:r>
              <w:rPr>
                <w:rFonts w:hint="eastAsia" w:ascii="华文楷体" w:hAnsi="华文楷体" w:eastAsia="华文楷体" w:cs="宋体"/>
                <w:b/>
                <w:color w:val="000000"/>
                <w:kern w:val="0"/>
                <w:szCs w:val="23"/>
              </w:rPr>
              <w:t>负债</w:t>
            </w:r>
          </w:p>
        </w:tc>
        <w:tc>
          <w:tcPr>
            <w:tcW w:w="3200" w:type="dxa"/>
            <w:noWrap/>
            <w:vAlign w:val="center"/>
          </w:tcPr>
          <w:p>
            <w:pPr>
              <w:widowControl/>
              <w:jc w:val="right"/>
              <w:rPr>
                <w:color w:val="000000"/>
                <w:sz w:val="22"/>
              </w:rPr>
            </w:pPr>
            <w:r>
              <w:rPr>
                <w:rFonts w:hint="eastAsia"/>
                <w:color w:val="000000"/>
                <w:sz w:val="22"/>
              </w:rPr>
              <w:t>　</w:t>
            </w:r>
          </w:p>
        </w:tc>
        <w:tc>
          <w:tcPr>
            <w:tcW w:w="3320" w:type="dxa"/>
            <w:noWrap/>
            <w:vAlign w:val="center"/>
          </w:tcPr>
          <w:p>
            <w:pPr>
              <w:widowControl/>
              <w:jc w:val="right"/>
              <w:rPr>
                <w:color w:val="000000"/>
                <w:sz w:val="22"/>
              </w:rPr>
            </w:pPr>
            <w:r>
              <w:rPr>
                <w:rFonts w:hint="eastAsia"/>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向中央银行借款</w:t>
            </w:r>
          </w:p>
        </w:tc>
        <w:tc>
          <w:tcPr>
            <w:tcW w:w="3200" w:type="dxa"/>
            <w:noWrap/>
            <w:vAlign w:val="center"/>
          </w:tcPr>
          <w:p>
            <w:pPr>
              <w:widowControl/>
              <w:jc w:val="right"/>
              <w:textAlignment w:val="center"/>
              <w:rPr>
                <w:color w:val="000000"/>
                <w:kern w:val="0"/>
                <w:sz w:val="23"/>
                <w:szCs w:val="23"/>
              </w:rPr>
            </w:pPr>
            <w:r>
              <w:rPr>
                <w:color w:val="000000"/>
                <w:kern w:val="0"/>
                <w:sz w:val="23"/>
                <w:szCs w:val="23"/>
              </w:rPr>
              <w:t>81,151</w:t>
            </w:r>
          </w:p>
        </w:tc>
        <w:tc>
          <w:tcPr>
            <w:tcW w:w="3320" w:type="dxa"/>
            <w:noWrap/>
            <w:vAlign w:val="center"/>
          </w:tcPr>
          <w:p>
            <w:pPr>
              <w:widowControl/>
              <w:jc w:val="right"/>
              <w:textAlignment w:val="center"/>
              <w:rPr>
                <w:color w:val="000000"/>
                <w:sz w:val="23"/>
                <w:szCs w:val="23"/>
              </w:rPr>
            </w:pPr>
            <w:r>
              <w:rPr>
                <w:color w:val="000000"/>
                <w:kern w:val="0"/>
                <w:sz w:val="23"/>
                <w:szCs w:val="23"/>
              </w:rPr>
              <w:t>81,151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同业及其他金融机构存放款项</w:t>
            </w:r>
          </w:p>
        </w:tc>
        <w:tc>
          <w:tcPr>
            <w:tcW w:w="3200" w:type="dxa"/>
            <w:noWrap/>
            <w:vAlign w:val="center"/>
          </w:tcPr>
          <w:p>
            <w:pPr>
              <w:widowControl/>
              <w:jc w:val="right"/>
              <w:textAlignment w:val="center"/>
              <w:rPr>
                <w:color w:val="000000"/>
                <w:sz w:val="23"/>
                <w:szCs w:val="23"/>
              </w:rPr>
            </w:pPr>
            <w:r>
              <w:rPr>
                <w:color w:val="000000"/>
                <w:kern w:val="0"/>
                <w:sz w:val="23"/>
                <w:szCs w:val="23"/>
              </w:rPr>
              <w:t>473,006</w:t>
            </w:r>
          </w:p>
        </w:tc>
        <w:tc>
          <w:tcPr>
            <w:tcW w:w="3320" w:type="dxa"/>
            <w:noWrap/>
            <w:vAlign w:val="center"/>
          </w:tcPr>
          <w:p>
            <w:pPr>
              <w:widowControl/>
              <w:jc w:val="right"/>
              <w:textAlignment w:val="center"/>
              <w:rPr>
                <w:color w:val="000000"/>
                <w:sz w:val="23"/>
                <w:szCs w:val="23"/>
              </w:rPr>
            </w:pPr>
            <w:r>
              <w:rPr>
                <w:color w:val="000000"/>
                <w:kern w:val="0"/>
                <w:sz w:val="23"/>
                <w:szCs w:val="23"/>
              </w:rPr>
              <w:t>473,006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拆入资金</w:t>
            </w:r>
          </w:p>
        </w:tc>
        <w:tc>
          <w:tcPr>
            <w:tcW w:w="3200" w:type="dxa"/>
            <w:noWrap/>
            <w:vAlign w:val="center"/>
          </w:tcPr>
          <w:p>
            <w:pPr>
              <w:widowControl/>
              <w:jc w:val="right"/>
              <w:textAlignment w:val="center"/>
              <w:rPr>
                <w:color w:val="000000"/>
                <w:sz w:val="23"/>
                <w:szCs w:val="23"/>
              </w:rPr>
            </w:pPr>
            <w:r>
              <w:rPr>
                <w:color w:val="000000"/>
                <w:kern w:val="0"/>
                <w:sz w:val="23"/>
                <w:szCs w:val="23"/>
              </w:rPr>
              <w:t>41,860</w:t>
            </w:r>
          </w:p>
        </w:tc>
        <w:tc>
          <w:tcPr>
            <w:tcW w:w="3320" w:type="dxa"/>
            <w:noWrap/>
            <w:vAlign w:val="center"/>
          </w:tcPr>
          <w:p>
            <w:pPr>
              <w:widowControl/>
              <w:jc w:val="right"/>
              <w:textAlignment w:val="center"/>
              <w:rPr>
                <w:color w:val="000000"/>
                <w:sz w:val="23"/>
                <w:szCs w:val="23"/>
              </w:rPr>
            </w:pPr>
            <w:r>
              <w:rPr>
                <w:color w:val="000000"/>
                <w:kern w:val="0"/>
                <w:sz w:val="23"/>
                <w:szCs w:val="23"/>
              </w:rPr>
              <w:t>41,860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445" w:type="dxa"/>
            <w:noWrap w:val="0"/>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交易性金融负债</w:t>
            </w:r>
          </w:p>
        </w:tc>
        <w:tc>
          <w:tcPr>
            <w:tcW w:w="3200" w:type="dxa"/>
            <w:noWrap/>
            <w:vAlign w:val="center"/>
          </w:tcPr>
          <w:p>
            <w:pPr>
              <w:widowControl/>
              <w:jc w:val="right"/>
              <w:textAlignment w:val="center"/>
              <w:rPr>
                <w:color w:val="000000"/>
                <w:sz w:val="23"/>
                <w:szCs w:val="23"/>
              </w:rPr>
            </w:pPr>
            <w:r>
              <w:rPr>
                <w:color w:val="000000"/>
                <w:kern w:val="0"/>
                <w:sz w:val="23"/>
                <w:szCs w:val="23"/>
              </w:rPr>
              <w:t>1,284</w:t>
            </w:r>
          </w:p>
        </w:tc>
        <w:tc>
          <w:tcPr>
            <w:tcW w:w="3320" w:type="dxa"/>
            <w:noWrap/>
            <w:vAlign w:val="center"/>
          </w:tcPr>
          <w:p>
            <w:pPr>
              <w:widowControl/>
              <w:jc w:val="right"/>
              <w:textAlignment w:val="center"/>
              <w:rPr>
                <w:color w:val="000000"/>
                <w:sz w:val="23"/>
                <w:szCs w:val="23"/>
              </w:rPr>
            </w:pPr>
            <w:r>
              <w:rPr>
                <w:color w:val="000000"/>
                <w:kern w:val="0"/>
                <w:sz w:val="23"/>
                <w:szCs w:val="23"/>
              </w:rPr>
              <w:t>1,284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衍生金融负债</w:t>
            </w:r>
          </w:p>
        </w:tc>
        <w:tc>
          <w:tcPr>
            <w:tcW w:w="3200" w:type="dxa"/>
            <w:noWrap/>
            <w:vAlign w:val="center"/>
          </w:tcPr>
          <w:p>
            <w:pPr>
              <w:widowControl/>
              <w:jc w:val="right"/>
              <w:textAlignment w:val="center"/>
              <w:rPr>
                <w:color w:val="000000"/>
                <w:sz w:val="23"/>
                <w:szCs w:val="23"/>
              </w:rPr>
            </w:pPr>
            <w:r>
              <w:rPr>
                <w:color w:val="000000"/>
                <w:kern w:val="0"/>
                <w:sz w:val="23"/>
                <w:szCs w:val="23"/>
              </w:rPr>
              <w:t>10,408</w:t>
            </w:r>
          </w:p>
        </w:tc>
        <w:tc>
          <w:tcPr>
            <w:tcW w:w="3320" w:type="dxa"/>
            <w:noWrap/>
            <w:vAlign w:val="center"/>
          </w:tcPr>
          <w:p>
            <w:pPr>
              <w:widowControl/>
              <w:jc w:val="right"/>
              <w:textAlignment w:val="center"/>
              <w:rPr>
                <w:color w:val="000000"/>
                <w:sz w:val="23"/>
                <w:szCs w:val="23"/>
              </w:rPr>
            </w:pPr>
            <w:r>
              <w:rPr>
                <w:color w:val="000000"/>
                <w:kern w:val="0"/>
                <w:sz w:val="23"/>
                <w:szCs w:val="23"/>
              </w:rPr>
              <w:t>10,408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卖出回购金融资产款</w:t>
            </w:r>
          </w:p>
        </w:tc>
        <w:tc>
          <w:tcPr>
            <w:tcW w:w="3200" w:type="dxa"/>
            <w:noWrap/>
            <w:vAlign w:val="center"/>
          </w:tcPr>
          <w:p>
            <w:pPr>
              <w:widowControl/>
              <w:jc w:val="right"/>
              <w:textAlignment w:val="center"/>
              <w:rPr>
                <w:color w:val="000000"/>
                <w:sz w:val="23"/>
                <w:szCs w:val="23"/>
              </w:rPr>
            </w:pPr>
            <w:r>
              <w:rPr>
                <w:color w:val="000000"/>
                <w:kern w:val="0"/>
                <w:sz w:val="23"/>
                <w:szCs w:val="23"/>
              </w:rPr>
              <w:t>100,551</w:t>
            </w:r>
          </w:p>
        </w:tc>
        <w:tc>
          <w:tcPr>
            <w:tcW w:w="3320" w:type="dxa"/>
            <w:noWrap/>
            <w:vAlign w:val="center"/>
          </w:tcPr>
          <w:p>
            <w:pPr>
              <w:widowControl/>
              <w:jc w:val="right"/>
              <w:textAlignment w:val="center"/>
              <w:rPr>
                <w:color w:val="000000"/>
                <w:sz w:val="23"/>
                <w:szCs w:val="23"/>
              </w:rPr>
            </w:pPr>
            <w:r>
              <w:rPr>
                <w:color w:val="000000"/>
                <w:kern w:val="0"/>
                <w:sz w:val="23"/>
                <w:szCs w:val="23"/>
              </w:rPr>
              <w:t>100,551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吸收存款</w:t>
            </w:r>
          </w:p>
        </w:tc>
        <w:tc>
          <w:tcPr>
            <w:tcW w:w="3200" w:type="dxa"/>
            <w:noWrap/>
            <w:vAlign w:val="center"/>
          </w:tcPr>
          <w:p>
            <w:pPr>
              <w:widowControl/>
              <w:jc w:val="right"/>
              <w:textAlignment w:val="center"/>
              <w:rPr>
                <w:color w:val="000000"/>
                <w:sz w:val="23"/>
                <w:szCs w:val="23"/>
              </w:rPr>
            </w:pPr>
            <w:r>
              <w:rPr>
                <w:color w:val="000000"/>
                <w:kern w:val="0"/>
                <w:sz w:val="23"/>
                <w:szCs w:val="23"/>
              </w:rPr>
              <w:t>1,577,437</w:t>
            </w:r>
          </w:p>
        </w:tc>
        <w:tc>
          <w:tcPr>
            <w:tcW w:w="3320" w:type="dxa"/>
            <w:noWrap/>
            <w:vAlign w:val="center"/>
          </w:tcPr>
          <w:p>
            <w:pPr>
              <w:widowControl/>
              <w:jc w:val="right"/>
              <w:textAlignment w:val="center"/>
              <w:rPr>
                <w:color w:val="000000"/>
                <w:sz w:val="23"/>
                <w:szCs w:val="23"/>
              </w:rPr>
            </w:pPr>
            <w:r>
              <w:rPr>
                <w:color w:val="000000"/>
                <w:kern w:val="0"/>
                <w:sz w:val="23"/>
                <w:szCs w:val="23"/>
              </w:rPr>
              <w:t>1,577,437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应付职工薪酬</w:t>
            </w:r>
          </w:p>
        </w:tc>
        <w:tc>
          <w:tcPr>
            <w:tcW w:w="3200" w:type="dxa"/>
            <w:noWrap/>
            <w:vAlign w:val="center"/>
          </w:tcPr>
          <w:p>
            <w:pPr>
              <w:widowControl/>
              <w:jc w:val="right"/>
              <w:textAlignment w:val="center"/>
              <w:rPr>
                <w:color w:val="000000"/>
                <w:sz w:val="23"/>
                <w:szCs w:val="23"/>
              </w:rPr>
            </w:pPr>
            <w:r>
              <w:rPr>
                <w:color w:val="000000"/>
                <w:kern w:val="0"/>
                <w:sz w:val="23"/>
                <w:szCs w:val="23"/>
              </w:rPr>
              <w:t>5,499</w:t>
            </w:r>
          </w:p>
        </w:tc>
        <w:tc>
          <w:tcPr>
            <w:tcW w:w="3320" w:type="dxa"/>
            <w:noWrap/>
            <w:vAlign w:val="center"/>
          </w:tcPr>
          <w:p>
            <w:pPr>
              <w:widowControl/>
              <w:jc w:val="right"/>
              <w:textAlignment w:val="center"/>
              <w:rPr>
                <w:color w:val="000000"/>
                <w:sz w:val="23"/>
                <w:szCs w:val="23"/>
              </w:rPr>
            </w:pPr>
            <w:r>
              <w:rPr>
                <w:color w:val="000000"/>
                <w:kern w:val="0"/>
                <w:sz w:val="23"/>
                <w:szCs w:val="23"/>
              </w:rPr>
              <w:t>5,499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应交税费</w:t>
            </w:r>
          </w:p>
        </w:tc>
        <w:tc>
          <w:tcPr>
            <w:tcW w:w="3200" w:type="dxa"/>
            <w:noWrap/>
            <w:vAlign w:val="center"/>
          </w:tcPr>
          <w:p>
            <w:pPr>
              <w:widowControl/>
              <w:jc w:val="right"/>
              <w:textAlignment w:val="center"/>
              <w:rPr>
                <w:color w:val="000000"/>
                <w:sz w:val="23"/>
                <w:szCs w:val="23"/>
              </w:rPr>
            </w:pPr>
            <w:r>
              <w:rPr>
                <w:color w:val="000000"/>
                <w:kern w:val="0"/>
                <w:sz w:val="23"/>
                <w:szCs w:val="23"/>
              </w:rPr>
              <w:t>3,995</w:t>
            </w:r>
          </w:p>
        </w:tc>
        <w:tc>
          <w:tcPr>
            <w:tcW w:w="3320" w:type="dxa"/>
            <w:noWrap/>
            <w:vAlign w:val="center"/>
          </w:tcPr>
          <w:p>
            <w:pPr>
              <w:widowControl/>
              <w:jc w:val="right"/>
              <w:textAlignment w:val="center"/>
              <w:rPr>
                <w:color w:val="000000"/>
                <w:sz w:val="23"/>
                <w:szCs w:val="23"/>
              </w:rPr>
            </w:pPr>
            <w:r>
              <w:rPr>
                <w:color w:val="000000"/>
                <w:kern w:val="0"/>
                <w:sz w:val="23"/>
                <w:szCs w:val="23"/>
              </w:rPr>
              <w:t>3,995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已发行债务证券</w:t>
            </w:r>
          </w:p>
        </w:tc>
        <w:tc>
          <w:tcPr>
            <w:tcW w:w="3200" w:type="dxa"/>
            <w:noWrap/>
            <w:vAlign w:val="center"/>
          </w:tcPr>
          <w:p>
            <w:pPr>
              <w:widowControl/>
              <w:jc w:val="right"/>
              <w:textAlignment w:val="center"/>
              <w:rPr>
                <w:color w:val="000000"/>
                <w:sz w:val="23"/>
                <w:szCs w:val="23"/>
              </w:rPr>
            </w:pPr>
            <w:r>
              <w:rPr>
                <w:color w:val="000000"/>
                <w:kern w:val="0"/>
                <w:sz w:val="23"/>
                <w:szCs w:val="23"/>
              </w:rPr>
              <w:t>281,259</w:t>
            </w:r>
          </w:p>
        </w:tc>
        <w:tc>
          <w:tcPr>
            <w:tcW w:w="3320" w:type="dxa"/>
            <w:noWrap/>
            <w:vAlign w:val="center"/>
          </w:tcPr>
          <w:p>
            <w:pPr>
              <w:widowControl/>
              <w:jc w:val="right"/>
              <w:textAlignment w:val="center"/>
              <w:rPr>
                <w:color w:val="000000"/>
                <w:sz w:val="23"/>
                <w:szCs w:val="23"/>
              </w:rPr>
            </w:pPr>
            <w:r>
              <w:rPr>
                <w:color w:val="000000"/>
                <w:kern w:val="0"/>
                <w:sz w:val="23"/>
                <w:szCs w:val="23"/>
              </w:rPr>
              <w:t>281,259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预计负债</w:t>
            </w:r>
          </w:p>
        </w:tc>
        <w:tc>
          <w:tcPr>
            <w:tcW w:w="3200" w:type="dxa"/>
            <w:noWrap/>
            <w:vAlign w:val="center"/>
          </w:tcPr>
          <w:p>
            <w:pPr>
              <w:widowControl/>
              <w:jc w:val="right"/>
              <w:textAlignment w:val="center"/>
              <w:rPr>
                <w:color w:val="000000"/>
                <w:sz w:val="23"/>
                <w:szCs w:val="23"/>
              </w:rPr>
            </w:pPr>
            <w:r>
              <w:rPr>
                <w:color w:val="000000"/>
                <w:kern w:val="0"/>
                <w:sz w:val="23"/>
                <w:szCs w:val="23"/>
              </w:rPr>
              <w:t>5,784</w:t>
            </w:r>
          </w:p>
        </w:tc>
        <w:tc>
          <w:tcPr>
            <w:tcW w:w="3320" w:type="dxa"/>
            <w:noWrap/>
            <w:vAlign w:val="center"/>
          </w:tcPr>
          <w:p>
            <w:pPr>
              <w:widowControl/>
              <w:jc w:val="right"/>
              <w:textAlignment w:val="center"/>
              <w:rPr>
                <w:color w:val="000000"/>
                <w:sz w:val="23"/>
                <w:szCs w:val="23"/>
              </w:rPr>
            </w:pPr>
            <w:r>
              <w:rPr>
                <w:color w:val="000000"/>
                <w:kern w:val="0"/>
                <w:sz w:val="23"/>
                <w:szCs w:val="23"/>
              </w:rPr>
              <w:t>5,784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其他负债</w:t>
            </w:r>
          </w:p>
        </w:tc>
        <w:tc>
          <w:tcPr>
            <w:tcW w:w="3200" w:type="dxa"/>
            <w:noWrap/>
            <w:vAlign w:val="center"/>
          </w:tcPr>
          <w:p>
            <w:pPr>
              <w:widowControl/>
              <w:jc w:val="right"/>
              <w:textAlignment w:val="center"/>
              <w:rPr>
                <w:color w:val="000000"/>
                <w:sz w:val="23"/>
                <w:szCs w:val="23"/>
              </w:rPr>
            </w:pPr>
            <w:r>
              <w:rPr>
                <w:color w:val="000000"/>
                <w:kern w:val="0"/>
                <w:sz w:val="23"/>
                <w:szCs w:val="23"/>
              </w:rPr>
              <w:t>18,554</w:t>
            </w:r>
          </w:p>
        </w:tc>
        <w:tc>
          <w:tcPr>
            <w:tcW w:w="3320" w:type="dxa"/>
            <w:noWrap/>
            <w:vAlign w:val="center"/>
          </w:tcPr>
          <w:p>
            <w:pPr>
              <w:widowControl/>
              <w:jc w:val="right"/>
              <w:textAlignment w:val="center"/>
              <w:rPr>
                <w:color w:val="000000"/>
                <w:sz w:val="23"/>
                <w:szCs w:val="23"/>
              </w:rPr>
            </w:pPr>
            <w:r>
              <w:rPr>
                <w:color w:val="000000"/>
                <w:kern w:val="0"/>
                <w:sz w:val="23"/>
                <w:szCs w:val="23"/>
              </w:rPr>
              <w:t>18,554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b/>
                <w:color w:val="000000"/>
                <w:kern w:val="0"/>
                <w:szCs w:val="23"/>
              </w:rPr>
            </w:pPr>
            <w:r>
              <w:rPr>
                <w:rFonts w:hint="eastAsia" w:ascii="华文楷体" w:hAnsi="华文楷体" w:eastAsia="华文楷体" w:cs="宋体"/>
                <w:b/>
                <w:color w:val="000000"/>
                <w:kern w:val="0"/>
                <w:szCs w:val="23"/>
              </w:rPr>
              <w:t>负债合计</w:t>
            </w:r>
          </w:p>
        </w:tc>
        <w:tc>
          <w:tcPr>
            <w:tcW w:w="3200" w:type="dxa"/>
            <w:noWrap/>
            <w:vAlign w:val="center"/>
          </w:tcPr>
          <w:p>
            <w:pPr>
              <w:widowControl/>
              <w:jc w:val="right"/>
              <w:textAlignment w:val="center"/>
              <w:rPr>
                <w:b/>
                <w:bCs/>
                <w:color w:val="000000"/>
                <w:sz w:val="23"/>
                <w:szCs w:val="23"/>
              </w:rPr>
            </w:pPr>
            <w:r>
              <w:rPr>
                <w:b/>
                <w:bCs/>
                <w:color w:val="000000"/>
                <w:kern w:val="0"/>
                <w:sz w:val="23"/>
                <w:szCs w:val="23"/>
              </w:rPr>
              <w:t>2,602,478</w:t>
            </w:r>
          </w:p>
        </w:tc>
        <w:tc>
          <w:tcPr>
            <w:tcW w:w="3320" w:type="dxa"/>
            <w:noWrap/>
            <w:vAlign w:val="center"/>
          </w:tcPr>
          <w:p>
            <w:pPr>
              <w:widowControl/>
              <w:jc w:val="right"/>
              <w:textAlignment w:val="center"/>
              <w:rPr>
                <w:b/>
                <w:bCs/>
                <w:color w:val="000000"/>
                <w:sz w:val="23"/>
                <w:szCs w:val="23"/>
              </w:rPr>
            </w:pPr>
            <w:r>
              <w:rPr>
                <w:b/>
                <w:bCs/>
                <w:color w:val="000000"/>
                <w:kern w:val="0"/>
                <w:sz w:val="23"/>
                <w:szCs w:val="23"/>
              </w:rPr>
              <w:t>2,602,478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b/>
                <w:bCs/>
                <w:color w:val="000000"/>
                <w:kern w:val="0"/>
                <w:szCs w:val="23"/>
              </w:rPr>
            </w:pPr>
            <w:r>
              <w:rPr>
                <w:rFonts w:hint="eastAsia" w:ascii="华文楷体" w:hAnsi="华文楷体" w:eastAsia="华文楷体" w:cs="宋体"/>
                <w:b/>
                <w:bCs/>
                <w:color w:val="000000"/>
                <w:kern w:val="0"/>
                <w:szCs w:val="23"/>
              </w:rPr>
              <w:t>股东权益</w:t>
            </w:r>
          </w:p>
        </w:tc>
        <w:tc>
          <w:tcPr>
            <w:tcW w:w="3200"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银行公布的合并资产负债表</w:t>
            </w:r>
          </w:p>
        </w:tc>
        <w:tc>
          <w:tcPr>
            <w:tcW w:w="3320"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监管并表口径下的资产负债表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股本</w:t>
            </w:r>
          </w:p>
        </w:tc>
        <w:tc>
          <w:tcPr>
            <w:tcW w:w="3200" w:type="dxa"/>
            <w:noWrap/>
            <w:vAlign w:val="center"/>
          </w:tcPr>
          <w:p>
            <w:pPr>
              <w:widowControl/>
              <w:jc w:val="right"/>
              <w:textAlignment w:val="center"/>
              <w:rPr>
                <w:color w:val="000000"/>
                <w:kern w:val="0"/>
                <w:sz w:val="23"/>
                <w:szCs w:val="23"/>
              </w:rPr>
            </w:pPr>
            <w:r>
              <w:rPr>
                <w:color w:val="000000"/>
                <w:kern w:val="0"/>
                <w:sz w:val="23"/>
                <w:szCs w:val="23"/>
              </w:rPr>
              <w:t>14,207</w:t>
            </w:r>
          </w:p>
        </w:tc>
        <w:tc>
          <w:tcPr>
            <w:tcW w:w="3320" w:type="dxa"/>
            <w:noWrap/>
            <w:vAlign w:val="center"/>
          </w:tcPr>
          <w:p>
            <w:pPr>
              <w:widowControl/>
              <w:jc w:val="right"/>
              <w:textAlignment w:val="center"/>
              <w:rPr>
                <w:color w:val="000000"/>
                <w:sz w:val="23"/>
                <w:szCs w:val="23"/>
              </w:rPr>
            </w:pPr>
            <w:r>
              <w:rPr>
                <w:color w:val="000000"/>
                <w:kern w:val="0"/>
                <w:sz w:val="23"/>
                <w:szCs w:val="23"/>
              </w:rPr>
              <w:t>14,207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其他权益工具</w:t>
            </w:r>
          </w:p>
        </w:tc>
        <w:tc>
          <w:tcPr>
            <w:tcW w:w="3200" w:type="dxa"/>
            <w:noWrap/>
            <w:vAlign w:val="center"/>
          </w:tcPr>
          <w:p>
            <w:pPr>
              <w:widowControl/>
              <w:jc w:val="right"/>
              <w:textAlignment w:val="center"/>
              <w:rPr>
                <w:color w:val="000000"/>
                <w:sz w:val="23"/>
                <w:szCs w:val="23"/>
              </w:rPr>
            </w:pPr>
            <w:r>
              <w:rPr>
                <w:color w:val="000000"/>
                <w:kern w:val="0"/>
                <w:sz w:val="23"/>
                <w:szCs w:val="23"/>
              </w:rPr>
              <w:t>20,323</w:t>
            </w:r>
          </w:p>
        </w:tc>
        <w:tc>
          <w:tcPr>
            <w:tcW w:w="3320" w:type="dxa"/>
            <w:noWrap/>
            <w:vAlign w:val="center"/>
          </w:tcPr>
          <w:p>
            <w:pPr>
              <w:widowControl/>
              <w:jc w:val="right"/>
              <w:textAlignment w:val="center"/>
              <w:rPr>
                <w:color w:val="000000"/>
                <w:sz w:val="23"/>
                <w:szCs w:val="23"/>
              </w:rPr>
            </w:pPr>
            <w:r>
              <w:rPr>
                <w:color w:val="000000"/>
                <w:kern w:val="0"/>
                <w:sz w:val="23"/>
                <w:szCs w:val="23"/>
              </w:rPr>
              <w:t>20,323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资本公积</w:t>
            </w:r>
          </w:p>
        </w:tc>
        <w:tc>
          <w:tcPr>
            <w:tcW w:w="3200" w:type="dxa"/>
            <w:noWrap/>
            <w:vAlign w:val="center"/>
          </w:tcPr>
          <w:p>
            <w:pPr>
              <w:widowControl/>
              <w:jc w:val="right"/>
              <w:textAlignment w:val="center"/>
              <w:rPr>
                <w:color w:val="000000"/>
                <w:sz w:val="23"/>
                <w:szCs w:val="23"/>
              </w:rPr>
            </w:pPr>
            <w:r>
              <w:rPr>
                <w:color w:val="000000"/>
                <w:kern w:val="0"/>
                <w:sz w:val="23"/>
                <w:szCs w:val="23"/>
              </w:rPr>
              <w:t>22,054</w:t>
            </w:r>
          </w:p>
        </w:tc>
        <w:tc>
          <w:tcPr>
            <w:tcW w:w="3320" w:type="dxa"/>
            <w:noWrap/>
            <w:vAlign w:val="center"/>
          </w:tcPr>
          <w:p>
            <w:pPr>
              <w:widowControl/>
              <w:jc w:val="right"/>
              <w:textAlignment w:val="center"/>
              <w:rPr>
                <w:color w:val="000000"/>
                <w:sz w:val="23"/>
                <w:szCs w:val="23"/>
              </w:rPr>
            </w:pPr>
            <w:r>
              <w:rPr>
                <w:color w:val="000000"/>
                <w:kern w:val="0"/>
                <w:sz w:val="23"/>
                <w:szCs w:val="23"/>
              </w:rPr>
              <w:t>22,054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其他综合收益</w:t>
            </w:r>
          </w:p>
        </w:tc>
        <w:tc>
          <w:tcPr>
            <w:tcW w:w="3200" w:type="dxa"/>
            <w:noWrap/>
            <w:vAlign w:val="center"/>
          </w:tcPr>
          <w:p>
            <w:pPr>
              <w:widowControl/>
              <w:jc w:val="right"/>
              <w:textAlignment w:val="center"/>
              <w:rPr>
                <w:color w:val="000000"/>
                <w:sz w:val="23"/>
                <w:szCs w:val="23"/>
              </w:rPr>
            </w:pPr>
            <w:r>
              <w:rPr>
                <w:color w:val="000000"/>
                <w:kern w:val="0"/>
                <w:sz w:val="23"/>
                <w:szCs w:val="23"/>
              </w:rPr>
              <w:t>1,784</w:t>
            </w:r>
          </w:p>
        </w:tc>
        <w:tc>
          <w:tcPr>
            <w:tcW w:w="3320" w:type="dxa"/>
            <w:noWrap/>
            <w:vAlign w:val="center"/>
          </w:tcPr>
          <w:p>
            <w:pPr>
              <w:widowControl/>
              <w:jc w:val="right"/>
              <w:textAlignment w:val="center"/>
              <w:rPr>
                <w:color w:val="000000"/>
                <w:sz w:val="23"/>
                <w:szCs w:val="23"/>
              </w:rPr>
            </w:pPr>
            <w:r>
              <w:rPr>
                <w:color w:val="000000"/>
                <w:kern w:val="0"/>
                <w:sz w:val="23"/>
                <w:szCs w:val="23"/>
              </w:rPr>
              <w:t>1,784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盈余公积</w:t>
            </w:r>
          </w:p>
        </w:tc>
        <w:tc>
          <w:tcPr>
            <w:tcW w:w="3200" w:type="dxa"/>
            <w:noWrap/>
            <w:vAlign w:val="center"/>
          </w:tcPr>
          <w:p>
            <w:pPr>
              <w:widowControl/>
              <w:jc w:val="right"/>
              <w:textAlignment w:val="center"/>
              <w:rPr>
                <w:color w:val="000000"/>
                <w:sz w:val="23"/>
                <w:szCs w:val="23"/>
              </w:rPr>
            </w:pPr>
            <w:r>
              <w:rPr>
                <w:color w:val="000000"/>
                <w:kern w:val="0"/>
                <w:sz w:val="23"/>
                <w:szCs w:val="23"/>
              </w:rPr>
              <w:t>54,984</w:t>
            </w:r>
          </w:p>
        </w:tc>
        <w:tc>
          <w:tcPr>
            <w:tcW w:w="3320" w:type="dxa"/>
            <w:noWrap/>
            <w:vAlign w:val="center"/>
          </w:tcPr>
          <w:p>
            <w:pPr>
              <w:widowControl/>
              <w:jc w:val="right"/>
              <w:textAlignment w:val="center"/>
              <w:rPr>
                <w:color w:val="000000"/>
                <w:sz w:val="23"/>
                <w:szCs w:val="23"/>
              </w:rPr>
            </w:pPr>
            <w:r>
              <w:rPr>
                <w:color w:val="000000"/>
                <w:kern w:val="0"/>
                <w:sz w:val="23"/>
                <w:szCs w:val="23"/>
              </w:rPr>
              <w:t>54,984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一般风险准备</w:t>
            </w:r>
          </w:p>
        </w:tc>
        <w:tc>
          <w:tcPr>
            <w:tcW w:w="3200" w:type="dxa"/>
            <w:noWrap/>
            <w:vAlign w:val="center"/>
          </w:tcPr>
          <w:p>
            <w:pPr>
              <w:widowControl/>
              <w:jc w:val="right"/>
              <w:textAlignment w:val="center"/>
              <w:rPr>
                <w:color w:val="000000"/>
                <w:sz w:val="23"/>
                <w:szCs w:val="23"/>
              </w:rPr>
            </w:pPr>
            <w:r>
              <w:rPr>
                <w:color w:val="000000"/>
                <w:kern w:val="0"/>
                <w:sz w:val="23"/>
                <w:szCs w:val="23"/>
              </w:rPr>
              <w:t>37,686</w:t>
            </w:r>
          </w:p>
        </w:tc>
        <w:tc>
          <w:tcPr>
            <w:tcW w:w="3320" w:type="dxa"/>
            <w:noWrap/>
            <w:vAlign w:val="center"/>
          </w:tcPr>
          <w:p>
            <w:pPr>
              <w:widowControl/>
              <w:jc w:val="right"/>
              <w:textAlignment w:val="center"/>
              <w:rPr>
                <w:color w:val="000000"/>
                <w:sz w:val="23"/>
                <w:szCs w:val="23"/>
              </w:rPr>
            </w:pPr>
            <w:r>
              <w:rPr>
                <w:color w:val="000000"/>
                <w:kern w:val="0"/>
                <w:sz w:val="23"/>
                <w:szCs w:val="23"/>
              </w:rPr>
              <w:t>37,686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未分配利润</w:t>
            </w:r>
          </w:p>
        </w:tc>
        <w:tc>
          <w:tcPr>
            <w:tcW w:w="3200" w:type="dxa"/>
            <w:noWrap/>
            <w:vAlign w:val="center"/>
          </w:tcPr>
          <w:p>
            <w:pPr>
              <w:widowControl/>
              <w:jc w:val="right"/>
              <w:textAlignment w:val="center"/>
              <w:rPr>
                <w:color w:val="000000"/>
                <w:sz w:val="23"/>
                <w:szCs w:val="23"/>
              </w:rPr>
            </w:pPr>
            <w:r>
              <w:rPr>
                <w:color w:val="000000"/>
                <w:kern w:val="0"/>
                <w:sz w:val="23"/>
                <w:szCs w:val="23"/>
              </w:rPr>
              <w:t>60,476</w:t>
            </w:r>
          </w:p>
        </w:tc>
        <w:tc>
          <w:tcPr>
            <w:tcW w:w="3320" w:type="dxa"/>
            <w:noWrap/>
            <w:vAlign w:val="center"/>
          </w:tcPr>
          <w:p>
            <w:pPr>
              <w:widowControl/>
              <w:jc w:val="right"/>
              <w:textAlignment w:val="center"/>
              <w:rPr>
                <w:color w:val="000000"/>
                <w:sz w:val="23"/>
                <w:szCs w:val="23"/>
              </w:rPr>
            </w:pPr>
            <w:r>
              <w:rPr>
                <w:color w:val="000000"/>
                <w:kern w:val="0"/>
                <w:sz w:val="23"/>
                <w:szCs w:val="23"/>
              </w:rPr>
              <w:t>60,476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归属于母公司股东权益合计</w:t>
            </w:r>
          </w:p>
        </w:tc>
        <w:tc>
          <w:tcPr>
            <w:tcW w:w="3200" w:type="dxa"/>
            <w:noWrap/>
            <w:vAlign w:val="center"/>
          </w:tcPr>
          <w:p>
            <w:pPr>
              <w:widowControl/>
              <w:jc w:val="right"/>
              <w:textAlignment w:val="center"/>
              <w:rPr>
                <w:color w:val="000000"/>
                <w:sz w:val="23"/>
                <w:szCs w:val="23"/>
              </w:rPr>
            </w:pPr>
            <w:r>
              <w:rPr>
                <w:color w:val="000000"/>
                <w:kern w:val="0"/>
                <w:sz w:val="23"/>
                <w:szCs w:val="23"/>
              </w:rPr>
              <w:t>211,598</w:t>
            </w:r>
          </w:p>
        </w:tc>
        <w:tc>
          <w:tcPr>
            <w:tcW w:w="3320" w:type="dxa"/>
            <w:noWrap/>
            <w:vAlign w:val="center"/>
          </w:tcPr>
          <w:p>
            <w:pPr>
              <w:widowControl/>
              <w:jc w:val="right"/>
              <w:textAlignment w:val="center"/>
              <w:rPr>
                <w:color w:val="000000"/>
                <w:sz w:val="23"/>
                <w:szCs w:val="23"/>
              </w:rPr>
            </w:pPr>
            <w:r>
              <w:rPr>
                <w:color w:val="000000"/>
                <w:kern w:val="0"/>
                <w:sz w:val="23"/>
                <w:szCs w:val="23"/>
              </w:rPr>
              <w:t>211,598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少数股东权益</w:t>
            </w:r>
          </w:p>
        </w:tc>
        <w:tc>
          <w:tcPr>
            <w:tcW w:w="3200" w:type="dxa"/>
            <w:noWrap/>
            <w:vAlign w:val="center"/>
          </w:tcPr>
          <w:p>
            <w:pPr>
              <w:widowControl/>
              <w:jc w:val="right"/>
              <w:textAlignment w:val="center"/>
              <w:rPr>
                <w:color w:val="000000"/>
                <w:sz w:val="23"/>
                <w:szCs w:val="23"/>
              </w:rPr>
            </w:pPr>
            <w:r>
              <w:rPr>
                <w:color w:val="000000"/>
                <w:kern w:val="0"/>
                <w:sz w:val="23"/>
                <w:szCs w:val="23"/>
              </w:rPr>
              <w:t>577</w:t>
            </w:r>
          </w:p>
        </w:tc>
        <w:tc>
          <w:tcPr>
            <w:tcW w:w="3320" w:type="dxa"/>
            <w:noWrap/>
            <w:vAlign w:val="center"/>
          </w:tcPr>
          <w:p>
            <w:pPr>
              <w:widowControl/>
              <w:jc w:val="right"/>
              <w:textAlignment w:val="center"/>
              <w:rPr>
                <w:color w:val="000000"/>
                <w:sz w:val="23"/>
                <w:szCs w:val="23"/>
              </w:rPr>
            </w:pPr>
            <w:r>
              <w:rPr>
                <w:color w:val="000000"/>
                <w:kern w:val="0"/>
                <w:sz w:val="23"/>
                <w:szCs w:val="23"/>
              </w:rPr>
              <w:t>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b/>
                <w:bCs/>
                <w:color w:val="000000"/>
                <w:kern w:val="0"/>
                <w:szCs w:val="23"/>
              </w:rPr>
            </w:pPr>
            <w:r>
              <w:rPr>
                <w:rFonts w:hint="eastAsia" w:ascii="华文楷体" w:hAnsi="华文楷体" w:eastAsia="华文楷体" w:cs="宋体"/>
                <w:b/>
                <w:bCs/>
                <w:color w:val="000000"/>
                <w:kern w:val="0"/>
                <w:szCs w:val="23"/>
              </w:rPr>
              <w:t>股东权益合计</w:t>
            </w:r>
          </w:p>
        </w:tc>
        <w:tc>
          <w:tcPr>
            <w:tcW w:w="3200" w:type="dxa"/>
            <w:noWrap/>
            <w:vAlign w:val="center"/>
          </w:tcPr>
          <w:p>
            <w:pPr>
              <w:widowControl/>
              <w:jc w:val="right"/>
              <w:textAlignment w:val="center"/>
              <w:rPr>
                <w:color w:val="000000"/>
                <w:sz w:val="23"/>
                <w:szCs w:val="23"/>
              </w:rPr>
            </w:pPr>
            <w:r>
              <w:rPr>
                <w:color w:val="000000"/>
                <w:kern w:val="0"/>
                <w:sz w:val="23"/>
                <w:szCs w:val="23"/>
              </w:rPr>
              <w:t>212,175</w:t>
            </w:r>
          </w:p>
        </w:tc>
        <w:tc>
          <w:tcPr>
            <w:tcW w:w="3320" w:type="dxa"/>
            <w:noWrap/>
            <w:vAlign w:val="center"/>
          </w:tcPr>
          <w:p>
            <w:pPr>
              <w:widowControl/>
              <w:jc w:val="right"/>
              <w:textAlignment w:val="center"/>
              <w:rPr>
                <w:color w:val="000000"/>
                <w:sz w:val="23"/>
                <w:szCs w:val="23"/>
              </w:rPr>
            </w:pPr>
            <w:r>
              <w:rPr>
                <w:color w:val="000000"/>
                <w:kern w:val="0"/>
                <w:sz w:val="23"/>
                <w:szCs w:val="23"/>
              </w:rPr>
              <w:t>212,175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3445" w:type="dxa"/>
            <w:noWrap/>
            <w:vAlign w:val="center"/>
          </w:tcPr>
          <w:p>
            <w:pPr>
              <w:widowControl/>
              <w:jc w:val="left"/>
              <w:rPr>
                <w:rFonts w:ascii="华文楷体" w:hAnsi="华文楷体" w:eastAsia="华文楷体" w:cs="宋体"/>
                <w:b/>
                <w:bCs/>
                <w:color w:val="000000"/>
                <w:kern w:val="0"/>
                <w:szCs w:val="23"/>
              </w:rPr>
            </w:pPr>
            <w:r>
              <w:rPr>
                <w:rFonts w:hint="eastAsia" w:ascii="华文楷体" w:hAnsi="华文楷体" w:eastAsia="华文楷体" w:cs="宋体"/>
                <w:b/>
                <w:bCs/>
                <w:color w:val="000000"/>
                <w:kern w:val="0"/>
                <w:szCs w:val="23"/>
              </w:rPr>
              <w:t>负债及股东权益总计</w:t>
            </w:r>
          </w:p>
        </w:tc>
        <w:tc>
          <w:tcPr>
            <w:tcW w:w="3200" w:type="dxa"/>
            <w:noWrap/>
            <w:vAlign w:val="center"/>
          </w:tcPr>
          <w:p>
            <w:pPr>
              <w:widowControl/>
              <w:jc w:val="right"/>
              <w:textAlignment w:val="center"/>
              <w:rPr>
                <w:b/>
                <w:bCs/>
                <w:color w:val="000000"/>
                <w:sz w:val="23"/>
                <w:szCs w:val="23"/>
              </w:rPr>
            </w:pPr>
            <w:r>
              <w:rPr>
                <w:b/>
                <w:bCs/>
                <w:color w:val="000000"/>
                <w:kern w:val="0"/>
                <w:sz w:val="23"/>
                <w:szCs w:val="23"/>
              </w:rPr>
              <w:t>2,814,653</w:t>
            </w:r>
          </w:p>
        </w:tc>
        <w:tc>
          <w:tcPr>
            <w:tcW w:w="3320" w:type="dxa"/>
            <w:noWrap/>
            <w:vAlign w:val="center"/>
          </w:tcPr>
          <w:p>
            <w:pPr>
              <w:widowControl/>
              <w:jc w:val="right"/>
              <w:textAlignment w:val="center"/>
              <w:rPr>
                <w:b/>
                <w:bCs/>
                <w:color w:val="000000"/>
                <w:sz w:val="23"/>
                <w:szCs w:val="23"/>
              </w:rPr>
            </w:pPr>
            <w:r>
              <w:rPr>
                <w:b/>
                <w:bCs/>
                <w:color w:val="000000"/>
                <w:kern w:val="0"/>
                <w:sz w:val="23"/>
                <w:szCs w:val="23"/>
              </w:rPr>
              <w:t>2,814,653</w:t>
            </w:r>
          </w:p>
        </w:tc>
      </w:tr>
    </w:tbl>
    <w:p>
      <w:pPr>
        <w:rPr>
          <w:rFonts w:eastAsia="华文楷体"/>
          <w:b/>
          <w:sz w:val="24"/>
          <w:szCs w:val="24"/>
        </w:rPr>
      </w:pPr>
    </w:p>
    <w:p>
      <w:pPr>
        <w:spacing w:line="0" w:lineRule="atLeast"/>
        <w:rPr>
          <w:rFonts w:eastAsia="华文楷体"/>
          <w:sz w:val="20"/>
          <w:szCs w:val="20"/>
        </w:rPr>
      </w:pPr>
      <w:r>
        <w:rPr>
          <w:rFonts w:eastAsia="华文楷体"/>
          <w:b/>
          <w:sz w:val="24"/>
          <w:szCs w:val="24"/>
        </w:rPr>
        <w:br w:type="page"/>
      </w:r>
      <w:r>
        <w:rPr>
          <w:rFonts w:hint="eastAsia" w:eastAsia="华文楷体"/>
          <w:b/>
          <w:sz w:val="24"/>
          <w:szCs w:val="24"/>
        </w:rPr>
        <w:t>（三）有关科目展开说明表</w:t>
      </w:r>
    </w:p>
    <w:p>
      <w:pPr>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单位：百万元（人民币）</w:t>
      </w:r>
    </w:p>
    <w:tbl>
      <w:tblPr>
        <w:tblStyle w:val="6"/>
        <w:tblW w:w="8735" w:type="dxa"/>
        <w:jc w:val="center"/>
        <w:tblLayout w:type="autofit"/>
        <w:tblCellMar>
          <w:top w:w="0" w:type="dxa"/>
          <w:left w:w="108" w:type="dxa"/>
          <w:bottom w:w="0" w:type="dxa"/>
          <w:right w:w="108" w:type="dxa"/>
        </w:tblCellMar>
      </w:tblPr>
      <w:tblGrid>
        <w:gridCol w:w="4680"/>
        <w:gridCol w:w="2975"/>
        <w:gridCol w:w="1080"/>
      </w:tblGrid>
      <w:tr>
        <w:tblPrEx>
          <w:tblCellMar>
            <w:top w:w="0" w:type="dxa"/>
            <w:left w:w="108" w:type="dxa"/>
            <w:bottom w:w="0" w:type="dxa"/>
            <w:right w:w="108" w:type="dxa"/>
          </w:tblCellMar>
        </w:tblPrEx>
        <w:trPr>
          <w:trHeight w:val="270" w:hRule="atLeast"/>
          <w:jc w:val="center"/>
        </w:trPr>
        <w:tc>
          <w:tcPr>
            <w:tcW w:w="468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2975" w:type="dxa"/>
            <w:tcBorders>
              <w:top w:val="single" w:color="auto" w:sz="4" w:space="0"/>
              <w:left w:val="nil"/>
              <w:bottom w:val="single" w:color="auto" w:sz="4" w:space="0"/>
              <w:right w:val="single" w:color="auto" w:sz="4" w:space="0"/>
            </w:tcBorders>
            <w:noWrap/>
            <w:vAlign w:val="center"/>
          </w:tcPr>
          <w:p>
            <w:pPr>
              <w:widowControl/>
              <w:rPr>
                <w:rFonts w:ascii="华文楷体" w:hAnsi="华文楷体" w:eastAsia="华文楷体" w:cs="宋体"/>
                <w:color w:val="000000"/>
                <w:kern w:val="0"/>
                <w:szCs w:val="21"/>
              </w:rPr>
            </w:pPr>
            <w:r>
              <w:rPr>
                <w:rFonts w:hint="eastAsia" w:ascii="华文楷体" w:hAnsi="华文楷体" w:eastAsia="华文楷体" w:cs="宋体"/>
                <w:color w:val="000000"/>
                <w:kern w:val="0"/>
                <w:szCs w:val="21"/>
              </w:rPr>
              <w:t>监管并表口径下的资产负债表</w:t>
            </w:r>
          </w:p>
        </w:tc>
        <w:tc>
          <w:tcPr>
            <w:tcW w:w="1080" w:type="dxa"/>
            <w:tcBorders>
              <w:top w:val="single" w:color="auto" w:sz="4" w:space="0"/>
              <w:left w:val="nil"/>
              <w:bottom w:val="single" w:color="auto" w:sz="4" w:space="0"/>
              <w:right w:val="single" w:color="auto" w:sz="4" w:space="0"/>
            </w:tcBorders>
            <w:noWrap/>
            <w:vAlign w:val="center"/>
          </w:tcPr>
          <w:p>
            <w:pPr>
              <w:widowControl/>
              <w:jc w:val="center"/>
              <w:rPr>
                <w:rFonts w:ascii="华文楷体" w:hAnsi="华文楷体" w:eastAsia="华文楷体" w:cs="宋体"/>
                <w:color w:val="000000"/>
                <w:kern w:val="0"/>
                <w:szCs w:val="21"/>
              </w:rPr>
            </w:pPr>
            <w:r>
              <w:rPr>
                <w:rFonts w:hint="eastAsia" w:ascii="华文楷体" w:hAnsi="华文楷体" w:eastAsia="华文楷体" w:cs="宋体"/>
                <w:color w:val="000000"/>
                <w:kern w:val="0"/>
                <w:szCs w:val="21"/>
              </w:rPr>
              <w:t>代码</w:t>
            </w:r>
          </w:p>
        </w:tc>
      </w:tr>
      <w:tr>
        <w:tblPrEx>
          <w:tblCellMar>
            <w:top w:w="0" w:type="dxa"/>
            <w:left w:w="108" w:type="dxa"/>
            <w:bottom w:w="0" w:type="dxa"/>
            <w:right w:w="108" w:type="dxa"/>
          </w:tblCellMar>
        </w:tblPrEx>
        <w:trPr>
          <w:trHeight w:val="270" w:hRule="atLeast"/>
          <w:jc w:val="center"/>
        </w:trPr>
        <w:tc>
          <w:tcPr>
            <w:tcW w:w="4680" w:type="dxa"/>
            <w:tcBorders>
              <w:top w:val="nil"/>
              <w:left w:val="single" w:color="auto" w:sz="4" w:space="0"/>
              <w:bottom w:val="single" w:color="auto" w:sz="4" w:space="0"/>
              <w:right w:val="single" w:color="auto" w:sz="4" w:space="0"/>
            </w:tcBorders>
            <w:noWrap/>
            <w:vAlign w:val="center"/>
          </w:tcPr>
          <w:p>
            <w:pPr>
              <w:widowControl/>
              <w:rPr>
                <w:rFonts w:ascii="华文楷体" w:hAnsi="华文楷体" w:eastAsia="华文楷体" w:cs="宋体"/>
                <w:color w:val="000000"/>
                <w:kern w:val="0"/>
                <w:szCs w:val="21"/>
              </w:rPr>
            </w:pPr>
            <w:r>
              <w:rPr>
                <w:rFonts w:hint="eastAsia" w:ascii="华文楷体" w:hAnsi="华文楷体" w:eastAsia="华文楷体" w:cs="宋体"/>
                <w:color w:val="000000"/>
                <w:kern w:val="0"/>
                <w:szCs w:val="21"/>
              </w:rPr>
              <w:t>发放贷款和垫款</w:t>
            </w:r>
          </w:p>
        </w:tc>
        <w:tc>
          <w:tcPr>
            <w:tcW w:w="297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color w:val="000000"/>
                <w:kern w:val="0"/>
                <w:sz w:val="20"/>
                <w:szCs w:val="20"/>
              </w:rPr>
            </w:pPr>
            <w:r>
              <w:rPr>
                <w:rFonts w:hint="default" w:ascii="Times New Roman" w:hAnsi="Times New Roman" w:eastAsia="宋体" w:cs="Times New Roman"/>
                <w:i w:val="0"/>
                <w:iCs w:val="0"/>
                <w:color w:val="000000"/>
                <w:kern w:val="0"/>
                <w:sz w:val="20"/>
                <w:szCs w:val="20"/>
                <w:u w:val="none"/>
                <w:lang w:val="en-US" w:eastAsia="zh-CN" w:bidi="ar"/>
              </w:rPr>
              <w:t>1,235,830</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000000"/>
                <w:sz w:val="22"/>
              </w:rPr>
            </w:pPr>
            <w:r>
              <w:rPr>
                <w:rFonts w:hint="eastAsia"/>
                <w:color w:val="000000"/>
                <w:sz w:val="22"/>
              </w:rPr>
              <w:t>　</w:t>
            </w:r>
          </w:p>
        </w:tc>
      </w:tr>
      <w:tr>
        <w:tblPrEx>
          <w:tblCellMar>
            <w:top w:w="0" w:type="dxa"/>
            <w:left w:w="108" w:type="dxa"/>
            <w:bottom w:w="0" w:type="dxa"/>
            <w:right w:w="108" w:type="dxa"/>
          </w:tblCellMar>
        </w:tblPrEx>
        <w:trPr>
          <w:trHeight w:val="270" w:hRule="atLeast"/>
          <w:jc w:val="center"/>
        </w:trPr>
        <w:tc>
          <w:tcPr>
            <w:tcW w:w="4680" w:type="dxa"/>
            <w:tcBorders>
              <w:top w:val="nil"/>
              <w:left w:val="single" w:color="auto" w:sz="4" w:space="0"/>
              <w:bottom w:val="single" w:color="auto" w:sz="4" w:space="0"/>
              <w:right w:val="single" w:color="auto" w:sz="4" w:space="0"/>
            </w:tcBorders>
            <w:noWrap/>
            <w:vAlign w:val="center"/>
          </w:tcPr>
          <w:p>
            <w:pPr>
              <w:widowControl/>
              <w:rPr>
                <w:color w:val="000000"/>
                <w:kern w:val="0"/>
                <w:szCs w:val="21"/>
              </w:rPr>
            </w:pPr>
            <w:r>
              <w:rPr>
                <w:rFonts w:hint="eastAsia" w:ascii="华文楷体" w:hAnsi="华文楷体" w:eastAsia="华文楷体"/>
                <w:color w:val="000000"/>
                <w:kern w:val="0"/>
                <w:szCs w:val="21"/>
              </w:rPr>
              <w:t>客户贷款及垫款总额</w:t>
            </w:r>
          </w:p>
        </w:tc>
        <w:tc>
          <w:tcPr>
            <w:tcW w:w="297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1,277,476</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000000"/>
                <w:sz w:val="22"/>
              </w:rPr>
            </w:pPr>
            <w:r>
              <w:rPr>
                <w:rFonts w:hint="eastAsia"/>
                <w:color w:val="000000"/>
                <w:sz w:val="22"/>
              </w:rPr>
              <w:t>　</w:t>
            </w:r>
          </w:p>
        </w:tc>
      </w:tr>
      <w:tr>
        <w:tblPrEx>
          <w:tblCellMar>
            <w:top w:w="0" w:type="dxa"/>
            <w:left w:w="108" w:type="dxa"/>
            <w:bottom w:w="0" w:type="dxa"/>
            <w:right w:w="108" w:type="dxa"/>
          </w:tblCellMar>
        </w:tblPrEx>
        <w:trPr>
          <w:trHeight w:val="270" w:hRule="atLeast"/>
          <w:jc w:val="center"/>
        </w:trPr>
        <w:tc>
          <w:tcPr>
            <w:tcW w:w="4680" w:type="dxa"/>
            <w:tcBorders>
              <w:top w:val="nil"/>
              <w:left w:val="single" w:color="auto" w:sz="4" w:space="0"/>
              <w:bottom w:val="single" w:color="auto" w:sz="4" w:space="0"/>
              <w:right w:val="single" w:color="auto" w:sz="4" w:space="0"/>
            </w:tcBorders>
            <w:noWrap w:val="0"/>
            <w:vAlign w:val="center"/>
          </w:tcPr>
          <w:p>
            <w:pPr>
              <w:widowControl/>
              <w:jc w:val="left"/>
              <w:rPr>
                <w:rFonts w:ascii="华文楷体" w:hAnsi="华文楷体" w:eastAsia="华文楷体" w:cs="宋体"/>
                <w:color w:val="000000"/>
                <w:kern w:val="0"/>
                <w:szCs w:val="21"/>
              </w:rPr>
            </w:pPr>
            <w:r>
              <w:rPr>
                <w:rFonts w:hint="eastAsia" w:ascii="华文楷体" w:hAnsi="华文楷体" w:eastAsia="华文楷体" w:cs="宋体"/>
                <w:color w:val="000000"/>
                <w:kern w:val="0"/>
                <w:szCs w:val="21"/>
              </w:rPr>
              <w:t>减：权重法下，实际计提的贷款损失准备金额</w:t>
            </w:r>
          </w:p>
        </w:tc>
        <w:tc>
          <w:tcPr>
            <w:tcW w:w="297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color w:val="000000"/>
                <w:sz w:val="20"/>
                <w:szCs w:val="20"/>
              </w:rPr>
            </w:pPr>
            <w:r>
              <w:rPr>
                <w:rFonts w:hint="default" w:ascii="Times New Roman" w:hAnsi="Times New Roman" w:eastAsia="宋体" w:cs="Times New Roman"/>
                <w:i w:val="0"/>
                <w:iCs w:val="0"/>
                <w:color w:val="000000"/>
                <w:kern w:val="0"/>
                <w:sz w:val="20"/>
                <w:szCs w:val="20"/>
                <w:u w:val="none"/>
                <w:lang w:val="en-US" w:eastAsia="zh-CN" w:bidi="ar"/>
              </w:rPr>
              <w:t>48,169</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000000"/>
                <w:sz w:val="22"/>
              </w:rPr>
            </w:pPr>
            <w:r>
              <w:rPr>
                <w:rFonts w:hint="eastAsia"/>
                <w:color w:val="000000"/>
                <w:sz w:val="22"/>
              </w:rPr>
              <w:t>　</w:t>
            </w:r>
          </w:p>
        </w:tc>
      </w:tr>
      <w:tr>
        <w:tblPrEx>
          <w:tblCellMar>
            <w:top w:w="0" w:type="dxa"/>
            <w:left w:w="108" w:type="dxa"/>
            <w:bottom w:w="0" w:type="dxa"/>
            <w:right w:w="108" w:type="dxa"/>
          </w:tblCellMar>
        </w:tblPrEx>
        <w:trPr>
          <w:trHeight w:val="510" w:hRule="atLeast"/>
          <w:jc w:val="center"/>
        </w:trPr>
        <w:tc>
          <w:tcPr>
            <w:tcW w:w="4680" w:type="dxa"/>
            <w:tcBorders>
              <w:top w:val="nil"/>
              <w:left w:val="single" w:color="auto" w:sz="4" w:space="0"/>
              <w:bottom w:val="single" w:color="auto" w:sz="4" w:space="0"/>
              <w:right w:val="single" w:color="auto" w:sz="4" w:space="0"/>
            </w:tcBorders>
            <w:noWrap w:val="0"/>
            <w:vAlign w:val="center"/>
          </w:tcPr>
          <w:p>
            <w:pPr>
              <w:widowControl/>
              <w:jc w:val="left"/>
              <w:rPr>
                <w:rFonts w:ascii="华文楷体" w:hAnsi="华文楷体" w:eastAsia="华文楷体" w:cs="宋体"/>
                <w:color w:val="000000"/>
                <w:kern w:val="0"/>
                <w:szCs w:val="21"/>
              </w:rPr>
            </w:pPr>
            <w:r>
              <w:rPr>
                <w:rFonts w:hint="eastAsia" w:ascii="华文楷体" w:hAnsi="华文楷体" w:eastAsia="华文楷体" w:cs="宋体"/>
                <w:color w:val="000000"/>
                <w:kern w:val="0"/>
                <w:szCs w:val="21"/>
              </w:rPr>
              <w:t>其中：权重法下，可计入二级资本超额贷款损失准备的数额</w:t>
            </w:r>
          </w:p>
        </w:tc>
        <w:tc>
          <w:tcPr>
            <w:tcW w:w="297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color w:val="000000"/>
                <w:sz w:val="22"/>
              </w:rPr>
            </w:pPr>
            <w:r>
              <w:rPr>
                <w:rFonts w:hint="default" w:ascii="Times New Roman" w:hAnsi="Times New Roman" w:eastAsia="宋体" w:cs="Times New Roman"/>
                <w:i w:val="0"/>
                <w:iCs w:val="0"/>
                <w:color w:val="000000"/>
                <w:kern w:val="0"/>
                <w:sz w:val="20"/>
                <w:szCs w:val="20"/>
                <w:u w:val="none"/>
                <w:lang w:val="en-US" w:eastAsia="zh-CN" w:bidi="ar"/>
              </w:rPr>
              <w:t>23,780</w:t>
            </w:r>
          </w:p>
        </w:tc>
        <w:tc>
          <w:tcPr>
            <w:tcW w:w="1080" w:type="dxa"/>
            <w:tcBorders>
              <w:top w:val="nil"/>
              <w:left w:val="nil"/>
              <w:bottom w:val="single" w:color="auto" w:sz="4" w:space="0"/>
              <w:right w:val="single" w:color="auto" w:sz="4" w:space="0"/>
            </w:tcBorders>
            <w:noWrap/>
            <w:vAlign w:val="center"/>
          </w:tcPr>
          <w:p>
            <w:pPr>
              <w:jc w:val="center"/>
              <w:rPr>
                <w:color w:val="000000"/>
                <w:sz w:val="20"/>
                <w:szCs w:val="20"/>
              </w:rPr>
            </w:pPr>
            <w:r>
              <w:rPr>
                <w:color w:val="000000"/>
                <w:sz w:val="20"/>
                <w:szCs w:val="20"/>
              </w:rPr>
              <w:t>a</w:t>
            </w:r>
          </w:p>
        </w:tc>
      </w:tr>
      <w:tr>
        <w:tblPrEx>
          <w:tblCellMar>
            <w:top w:w="0" w:type="dxa"/>
            <w:left w:w="108" w:type="dxa"/>
            <w:bottom w:w="0" w:type="dxa"/>
            <w:right w:w="108" w:type="dxa"/>
          </w:tblCellMar>
        </w:tblPrEx>
        <w:trPr>
          <w:trHeight w:val="270" w:hRule="atLeas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2975" w:type="dxa"/>
            <w:tcBorders>
              <w:top w:val="nil"/>
              <w:left w:val="nil"/>
              <w:bottom w:val="single" w:color="auto" w:sz="4" w:space="0"/>
              <w:right w:val="single" w:color="auto" w:sz="4" w:space="0"/>
            </w:tcBorders>
            <w:noWrap/>
            <w:vAlign w:val="center"/>
          </w:tcPr>
          <w:p>
            <w:pPr>
              <w:jc w:val="right"/>
              <w:rPr>
                <w:rFonts w:ascii="宋体" w:hAnsi="宋体" w:cs="宋体"/>
                <w:color w:val="000000"/>
                <w:sz w:val="22"/>
              </w:rPr>
            </w:pPr>
          </w:p>
        </w:tc>
        <w:tc>
          <w:tcPr>
            <w:tcW w:w="1080" w:type="dxa"/>
            <w:tcBorders>
              <w:top w:val="nil"/>
              <w:left w:val="nil"/>
              <w:bottom w:val="single" w:color="auto" w:sz="4" w:space="0"/>
              <w:right w:val="single" w:color="auto" w:sz="4" w:space="0"/>
            </w:tcBorders>
            <w:noWrap/>
            <w:vAlign w:val="center"/>
          </w:tcPr>
          <w:p>
            <w:pPr>
              <w:jc w:val="center"/>
              <w:rPr>
                <w:color w:val="000000"/>
                <w:sz w:val="22"/>
              </w:rPr>
            </w:pPr>
            <w:r>
              <w:rPr>
                <w:rFonts w:hint="eastAsia"/>
                <w:color w:val="000000"/>
                <w:sz w:val="22"/>
              </w:rPr>
              <w:t>　</w:t>
            </w:r>
          </w:p>
        </w:tc>
      </w:tr>
      <w:tr>
        <w:tblPrEx>
          <w:tblCellMar>
            <w:top w:w="0" w:type="dxa"/>
            <w:left w:w="108" w:type="dxa"/>
            <w:bottom w:w="0" w:type="dxa"/>
            <w:right w:w="108" w:type="dxa"/>
          </w:tblCellMar>
        </w:tblPrEx>
        <w:trPr>
          <w:trHeight w:val="90" w:hRule="atLeast"/>
          <w:jc w:val="center"/>
        </w:trPr>
        <w:tc>
          <w:tcPr>
            <w:tcW w:w="4680" w:type="dxa"/>
            <w:tcBorders>
              <w:top w:val="nil"/>
              <w:left w:val="single" w:color="auto" w:sz="4" w:space="0"/>
              <w:bottom w:val="single" w:color="auto" w:sz="4" w:space="0"/>
              <w:right w:val="single" w:color="auto" w:sz="4" w:space="0"/>
            </w:tcBorders>
            <w:noWrap/>
            <w:vAlign w:val="center"/>
          </w:tcPr>
          <w:p>
            <w:pPr>
              <w:widowControl/>
              <w:rPr>
                <w:rFonts w:ascii="华文楷体" w:hAnsi="华文楷体" w:eastAsia="华文楷体" w:cs="宋体"/>
                <w:color w:val="000000"/>
                <w:kern w:val="0"/>
                <w:szCs w:val="21"/>
              </w:rPr>
            </w:pPr>
            <w:r>
              <w:rPr>
                <w:rFonts w:hint="eastAsia" w:ascii="华文楷体" w:hAnsi="华文楷体" w:eastAsia="华文楷体" w:cs="宋体"/>
                <w:color w:val="000000"/>
                <w:kern w:val="0"/>
                <w:szCs w:val="21"/>
              </w:rPr>
              <w:t>无形资产</w:t>
            </w:r>
          </w:p>
        </w:tc>
        <w:tc>
          <w:tcPr>
            <w:tcW w:w="2975" w:type="dxa"/>
            <w:tcBorders>
              <w:top w:val="nil"/>
              <w:left w:val="nil"/>
              <w:bottom w:val="single" w:color="auto" w:sz="4" w:space="0"/>
              <w:right w:val="single" w:color="auto" w:sz="4" w:space="0"/>
            </w:tcBorders>
            <w:noWrap/>
            <w:vAlign w:val="center"/>
          </w:tcPr>
          <w:p>
            <w:pPr>
              <w:widowControl/>
              <w:jc w:val="right"/>
              <w:textAlignment w:val="center"/>
              <w:rPr>
                <w:color w:val="000000"/>
                <w:sz w:val="20"/>
                <w:szCs w:val="20"/>
              </w:rPr>
            </w:pPr>
            <w:r>
              <w:rPr>
                <w:color w:val="000000"/>
                <w:kern w:val="0"/>
                <w:sz w:val="20"/>
                <w:szCs w:val="20"/>
              </w:rPr>
              <w:t>1,187</w:t>
            </w:r>
          </w:p>
        </w:tc>
        <w:tc>
          <w:tcPr>
            <w:tcW w:w="1080" w:type="dxa"/>
            <w:tcBorders>
              <w:top w:val="nil"/>
              <w:left w:val="nil"/>
              <w:bottom w:val="single" w:color="auto" w:sz="4" w:space="0"/>
              <w:right w:val="single" w:color="auto" w:sz="4" w:space="0"/>
            </w:tcBorders>
            <w:noWrap/>
            <w:vAlign w:val="center"/>
          </w:tcPr>
          <w:p>
            <w:pPr>
              <w:jc w:val="center"/>
              <w:rPr>
                <w:color w:val="000000"/>
                <w:sz w:val="20"/>
                <w:szCs w:val="20"/>
              </w:rPr>
            </w:pPr>
            <w:r>
              <w:rPr>
                <w:color w:val="000000"/>
                <w:sz w:val="20"/>
                <w:szCs w:val="20"/>
              </w:rPr>
              <w:t>b</w:t>
            </w:r>
          </w:p>
        </w:tc>
      </w:tr>
      <w:tr>
        <w:tblPrEx>
          <w:tblCellMar>
            <w:top w:w="0" w:type="dxa"/>
            <w:left w:w="108" w:type="dxa"/>
            <w:bottom w:w="0" w:type="dxa"/>
            <w:right w:w="108" w:type="dxa"/>
          </w:tblCellMar>
        </w:tblPrEx>
        <w:trPr>
          <w:trHeight w:val="270" w:hRule="atLeast"/>
          <w:jc w:val="center"/>
        </w:trPr>
        <w:tc>
          <w:tcPr>
            <w:tcW w:w="4680" w:type="dxa"/>
            <w:tcBorders>
              <w:top w:val="nil"/>
              <w:left w:val="single" w:color="auto" w:sz="4" w:space="0"/>
              <w:bottom w:val="single" w:color="auto" w:sz="4" w:space="0"/>
              <w:right w:val="single" w:color="auto" w:sz="4" w:space="0"/>
            </w:tcBorders>
            <w:noWrap/>
            <w:vAlign w:val="center"/>
          </w:tcPr>
          <w:p>
            <w:pPr>
              <w:widowControl/>
              <w:rPr>
                <w:color w:val="000000"/>
                <w:kern w:val="0"/>
                <w:szCs w:val="21"/>
              </w:rPr>
            </w:pPr>
            <w:r>
              <w:rPr>
                <w:rFonts w:hint="eastAsia" w:ascii="华文楷体" w:hAnsi="华文楷体" w:eastAsia="华文楷体"/>
                <w:color w:val="000000"/>
                <w:kern w:val="0"/>
                <w:szCs w:val="21"/>
              </w:rPr>
              <w:t>其中：土地使用权</w:t>
            </w:r>
          </w:p>
        </w:tc>
        <w:tc>
          <w:tcPr>
            <w:tcW w:w="2975" w:type="dxa"/>
            <w:tcBorders>
              <w:top w:val="nil"/>
              <w:left w:val="nil"/>
              <w:bottom w:val="single" w:color="auto" w:sz="4" w:space="0"/>
              <w:right w:val="single" w:color="auto" w:sz="4" w:space="0"/>
            </w:tcBorders>
            <w:noWrap/>
            <w:vAlign w:val="center"/>
          </w:tcPr>
          <w:p>
            <w:pPr>
              <w:widowControl/>
              <w:jc w:val="right"/>
              <w:textAlignment w:val="center"/>
              <w:rPr>
                <w:color w:val="000000"/>
                <w:sz w:val="20"/>
                <w:szCs w:val="20"/>
              </w:rPr>
            </w:pPr>
            <w:r>
              <w:rPr>
                <w:color w:val="000000"/>
                <w:kern w:val="0"/>
                <w:sz w:val="20"/>
                <w:szCs w:val="20"/>
              </w:rPr>
              <w:t>193</w:t>
            </w:r>
          </w:p>
        </w:tc>
        <w:tc>
          <w:tcPr>
            <w:tcW w:w="1080" w:type="dxa"/>
            <w:tcBorders>
              <w:top w:val="nil"/>
              <w:left w:val="nil"/>
              <w:bottom w:val="single" w:color="auto" w:sz="4" w:space="0"/>
              <w:right w:val="single" w:color="auto" w:sz="4" w:space="0"/>
            </w:tcBorders>
            <w:noWrap/>
            <w:vAlign w:val="center"/>
          </w:tcPr>
          <w:p>
            <w:pPr>
              <w:jc w:val="center"/>
              <w:rPr>
                <w:color w:val="000000"/>
                <w:sz w:val="20"/>
                <w:szCs w:val="20"/>
              </w:rPr>
            </w:pPr>
            <w:r>
              <w:rPr>
                <w:color w:val="000000"/>
                <w:sz w:val="20"/>
                <w:szCs w:val="20"/>
              </w:rPr>
              <w:t>c</w:t>
            </w:r>
          </w:p>
        </w:tc>
      </w:tr>
      <w:tr>
        <w:tblPrEx>
          <w:tblCellMar>
            <w:top w:w="0" w:type="dxa"/>
            <w:left w:w="108" w:type="dxa"/>
            <w:bottom w:w="0" w:type="dxa"/>
            <w:right w:w="108" w:type="dxa"/>
          </w:tblCellMar>
        </w:tblPrEx>
        <w:trPr>
          <w:trHeight w:val="270" w:hRule="atLeast"/>
          <w:jc w:val="center"/>
        </w:trPr>
        <w:tc>
          <w:tcPr>
            <w:tcW w:w="4680" w:type="dxa"/>
            <w:tcBorders>
              <w:top w:val="nil"/>
              <w:left w:val="single" w:color="auto" w:sz="4" w:space="0"/>
              <w:bottom w:val="single" w:color="auto" w:sz="4" w:space="0"/>
              <w:right w:val="single" w:color="auto" w:sz="4" w:space="0"/>
            </w:tcBorders>
            <w:noWrap/>
            <w:vAlign w:val="center"/>
          </w:tcPr>
          <w:p>
            <w:pPr>
              <w:widowControl/>
              <w:rPr>
                <w:color w:val="000000"/>
                <w:kern w:val="0"/>
                <w:szCs w:val="21"/>
              </w:rPr>
            </w:pPr>
            <w:r>
              <w:rPr>
                <w:rFonts w:hint="eastAsia" w:ascii="华文楷体" w:hAnsi="华文楷体" w:eastAsia="华文楷体"/>
                <w:color w:val="000000"/>
                <w:kern w:val="0"/>
                <w:szCs w:val="21"/>
              </w:rPr>
              <w:t>其中：商誉</w:t>
            </w:r>
          </w:p>
        </w:tc>
        <w:tc>
          <w:tcPr>
            <w:tcW w:w="2975" w:type="dxa"/>
            <w:tcBorders>
              <w:top w:val="nil"/>
              <w:left w:val="nil"/>
              <w:bottom w:val="single" w:color="auto" w:sz="4" w:space="0"/>
              <w:right w:val="single" w:color="auto" w:sz="4" w:space="0"/>
            </w:tcBorders>
            <w:noWrap/>
            <w:vAlign w:val="center"/>
          </w:tcPr>
          <w:p>
            <w:pPr>
              <w:widowControl/>
              <w:jc w:val="right"/>
              <w:textAlignment w:val="center"/>
              <w:rPr>
                <w:color w:val="000000"/>
                <w:sz w:val="20"/>
                <w:szCs w:val="20"/>
              </w:rPr>
            </w:pPr>
            <w:r>
              <w:rPr>
                <w:color w:val="000000"/>
                <w:kern w:val="0"/>
                <w:sz w:val="20"/>
                <w:szCs w:val="20"/>
              </w:rPr>
              <w:t>2</w:t>
            </w:r>
          </w:p>
        </w:tc>
        <w:tc>
          <w:tcPr>
            <w:tcW w:w="1080" w:type="dxa"/>
            <w:tcBorders>
              <w:top w:val="nil"/>
              <w:left w:val="nil"/>
              <w:bottom w:val="single" w:color="auto" w:sz="4" w:space="0"/>
              <w:right w:val="single" w:color="auto" w:sz="4" w:space="0"/>
            </w:tcBorders>
            <w:noWrap/>
            <w:vAlign w:val="center"/>
          </w:tcPr>
          <w:p>
            <w:pPr>
              <w:jc w:val="center"/>
              <w:rPr>
                <w:color w:val="000000"/>
                <w:sz w:val="20"/>
                <w:szCs w:val="20"/>
              </w:rPr>
            </w:pPr>
            <w:r>
              <w:rPr>
                <w:color w:val="000000"/>
                <w:sz w:val="20"/>
                <w:szCs w:val="20"/>
              </w:rPr>
              <w:t>d</w:t>
            </w:r>
          </w:p>
        </w:tc>
      </w:tr>
      <w:tr>
        <w:tblPrEx>
          <w:tblCellMar>
            <w:top w:w="0" w:type="dxa"/>
            <w:left w:w="108" w:type="dxa"/>
            <w:bottom w:w="0" w:type="dxa"/>
            <w:right w:w="108" w:type="dxa"/>
          </w:tblCellMar>
        </w:tblPrEx>
        <w:trPr>
          <w:trHeight w:val="270" w:hRule="atLeas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2975" w:type="dxa"/>
            <w:tcBorders>
              <w:top w:val="nil"/>
              <w:left w:val="nil"/>
              <w:bottom w:val="single" w:color="auto" w:sz="4" w:space="0"/>
              <w:right w:val="single" w:color="auto" w:sz="4" w:space="0"/>
            </w:tcBorders>
            <w:noWrap/>
            <w:vAlign w:val="center"/>
          </w:tcPr>
          <w:p>
            <w:pPr>
              <w:jc w:val="right"/>
              <w:rPr>
                <w:rFonts w:ascii="宋体" w:hAnsi="宋体" w:cs="宋体"/>
                <w:color w:val="000000"/>
                <w:sz w:val="22"/>
              </w:rPr>
            </w:pPr>
          </w:p>
        </w:tc>
        <w:tc>
          <w:tcPr>
            <w:tcW w:w="1080" w:type="dxa"/>
            <w:tcBorders>
              <w:top w:val="nil"/>
              <w:left w:val="nil"/>
              <w:bottom w:val="single" w:color="auto" w:sz="4" w:space="0"/>
              <w:right w:val="single" w:color="auto" w:sz="4" w:space="0"/>
            </w:tcBorders>
            <w:noWrap/>
            <w:vAlign w:val="center"/>
          </w:tcPr>
          <w:p>
            <w:pPr>
              <w:jc w:val="center"/>
              <w:rPr>
                <w:color w:val="000000"/>
                <w:sz w:val="22"/>
              </w:rPr>
            </w:pPr>
            <w:r>
              <w:rPr>
                <w:rFonts w:hint="eastAsia"/>
                <w:color w:val="000000"/>
                <w:sz w:val="22"/>
              </w:rPr>
              <w:t>　</w:t>
            </w:r>
          </w:p>
        </w:tc>
      </w:tr>
      <w:tr>
        <w:tblPrEx>
          <w:tblCellMar>
            <w:top w:w="0" w:type="dxa"/>
            <w:left w:w="108" w:type="dxa"/>
            <w:bottom w:w="0" w:type="dxa"/>
            <w:right w:w="108" w:type="dxa"/>
          </w:tblCellMar>
        </w:tblPrEx>
        <w:trPr>
          <w:trHeight w:val="270" w:hRule="atLeast"/>
          <w:jc w:val="center"/>
        </w:trPr>
        <w:tc>
          <w:tcPr>
            <w:tcW w:w="4680" w:type="dxa"/>
            <w:tcBorders>
              <w:top w:val="nil"/>
              <w:left w:val="single" w:color="auto" w:sz="4" w:space="0"/>
              <w:bottom w:val="single" w:color="auto" w:sz="4" w:space="0"/>
              <w:right w:val="single" w:color="auto" w:sz="4" w:space="0"/>
            </w:tcBorders>
            <w:noWrap/>
            <w:vAlign w:val="top"/>
          </w:tcPr>
          <w:p>
            <w:pPr>
              <w:widowControl/>
              <w:rPr>
                <w:rFonts w:ascii="华文楷体" w:hAnsi="华文楷体" w:eastAsia="华文楷体" w:cs="宋体"/>
                <w:color w:val="000000"/>
                <w:kern w:val="0"/>
                <w:szCs w:val="21"/>
              </w:rPr>
            </w:pPr>
            <w:r>
              <w:rPr>
                <w:rFonts w:hint="eastAsia" w:ascii="华文楷体" w:hAnsi="华文楷体" w:eastAsia="华文楷体" w:cs="宋体"/>
                <w:color w:val="000000"/>
                <w:kern w:val="0"/>
                <w:szCs w:val="21"/>
              </w:rPr>
              <w:t>递延所得税资产</w:t>
            </w:r>
          </w:p>
        </w:tc>
        <w:tc>
          <w:tcPr>
            <w:tcW w:w="2975" w:type="dxa"/>
            <w:tcBorders>
              <w:top w:val="nil"/>
              <w:left w:val="nil"/>
              <w:bottom w:val="single" w:color="auto" w:sz="4" w:space="0"/>
              <w:right w:val="single" w:color="auto" w:sz="4" w:space="0"/>
            </w:tcBorders>
            <w:noWrap/>
            <w:vAlign w:val="center"/>
          </w:tcPr>
          <w:p>
            <w:pPr>
              <w:jc w:val="right"/>
              <w:rPr>
                <w:color w:val="000000"/>
                <w:sz w:val="22"/>
              </w:rPr>
            </w:pPr>
          </w:p>
        </w:tc>
        <w:tc>
          <w:tcPr>
            <w:tcW w:w="1080" w:type="dxa"/>
            <w:tcBorders>
              <w:top w:val="nil"/>
              <w:left w:val="nil"/>
              <w:bottom w:val="single" w:color="auto" w:sz="4" w:space="0"/>
              <w:right w:val="single" w:color="auto" w:sz="4" w:space="0"/>
            </w:tcBorders>
            <w:noWrap/>
            <w:vAlign w:val="top"/>
          </w:tcPr>
          <w:p>
            <w:pPr>
              <w:rPr>
                <w:sz w:val="20"/>
                <w:szCs w:val="20"/>
              </w:rPr>
            </w:pPr>
          </w:p>
        </w:tc>
      </w:tr>
      <w:tr>
        <w:tblPrEx>
          <w:tblCellMar>
            <w:top w:w="0" w:type="dxa"/>
            <w:left w:w="108" w:type="dxa"/>
            <w:bottom w:w="0" w:type="dxa"/>
            <w:right w:w="108" w:type="dxa"/>
          </w:tblCellMar>
        </w:tblPrEx>
        <w:trPr>
          <w:trHeight w:val="270" w:hRule="atLeast"/>
          <w:jc w:val="center"/>
        </w:trPr>
        <w:tc>
          <w:tcPr>
            <w:tcW w:w="4680" w:type="dxa"/>
            <w:tcBorders>
              <w:top w:val="nil"/>
              <w:left w:val="single" w:color="auto" w:sz="4" w:space="0"/>
              <w:bottom w:val="single" w:color="auto" w:sz="4" w:space="0"/>
              <w:right w:val="single" w:color="auto" w:sz="4" w:space="0"/>
            </w:tcBorders>
            <w:noWrap/>
            <w:vAlign w:val="top"/>
          </w:tcPr>
          <w:p>
            <w:pPr>
              <w:widowControl/>
              <w:rPr>
                <w:rFonts w:ascii="华文楷体" w:hAnsi="华文楷体" w:eastAsia="华文楷体" w:cs="宋体"/>
                <w:color w:val="000000"/>
                <w:kern w:val="0"/>
                <w:szCs w:val="21"/>
              </w:rPr>
            </w:pPr>
            <w:r>
              <w:rPr>
                <w:rFonts w:hint="eastAsia" w:ascii="华文楷体" w:hAnsi="华文楷体" w:eastAsia="华文楷体" w:cs="宋体"/>
                <w:color w:val="000000"/>
                <w:kern w:val="0"/>
                <w:szCs w:val="21"/>
              </w:rPr>
              <w:t>其中：依赖未来盈利的由经营亏损引起的净递延税资产</w:t>
            </w:r>
          </w:p>
        </w:tc>
        <w:tc>
          <w:tcPr>
            <w:tcW w:w="2975" w:type="dxa"/>
            <w:tcBorders>
              <w:top w:val="nil"/>
              <w:left w:val="nil"/>
              <w:bottom w:val="single" w:color="auto" w:sz="4" w:space="0"/>
              <w:right w:val="single" w:color="auto" w:sz="4" w:space="0"/>
            </w:tcBorders>
            <w:noWrap/>
            <w:vAlign w:val="center"/>
          </w:tcPr>
          <w:p>
            <w:pPr>
              <w:widowControl/>
              <w:jc w:val="right"/>
              <w:textAlignment w:val="center"/>
              <w:rPr>
                <w:color w:val="000000"/>
                <w:sz w:val="20"/>
                <w:szCs w:val="20"/>
              </w:rPr>
            </w:pPr>
            <w:r>
              <w:rPr>
                <w:color w:val="000000"/>
                <w:kern w:val="0"/>
                <w:sz w:val="20"/>
                <w:szCs w:val="20"/>
              </w:rPr>
              <w:t>2</w:t>
            </w:r>
          </w:p>
        </w:tc>
        <w:tc>
          <w:tcPr>
            <w:tcW w:w="1080" w:type="dxa"/>
            <w:tcBorders>
              <w:top w:val="nil"/>
              <w:left w:val="nil"/>
              <w:bottom w:val="single" w:color="auto" w:sz="4" w:space="0"/>
              <w:right w:val="single" w:color="auto" w:sz="4" w:space="0"/>
            </w:tcBorders>
            <w:noWrap/>
            <w:vAlign w:val="center"/>
          </w:tcPr>
          <w:p>
            <w:pPr>
              <w:jc w:val="center"/>
              <w:rPr>
                <w:sz w:val="20"/>
                <w:szCs w:val="20"/>
              </w:rPr>
            </w:pPr>
            <w:r>
              <w:rPr>
                <w:rFonts w:hint="eastAsia"/>
                <w:sz w:val="20"/>
                <w:szCs w:val="20"/>
              </w:rPr>
              <w:t>e</w:t>
            </w:r>
          </w:p>
        </w:tc>
      </w:tr>
      <w:tr>
        <w:tblPrEx>
          <w:tblCellMar>
            <w:top w:w="0" w:type="dxa"/>
            <w:left w:w="108" w:type="dxa"/>
            <w:bottom w:w="0" w:type="dxa"/>
            <w:right w:w="108" w:type="dxa"/>
          </w:tblCellMar>
        </w:tblPrEx>
        <w:trPr>
          <w:trHeight w:val="270" w:hRule="atLeast"/>
          <w:jc w:val="center"/>
        </w:trPr>
        <w:tc>
          <w:tcPr>
            <w:tcW w:w="4680" w:type="dxa"/>
            <w:tcBorders>
              <w:top w:val="nil"/>
              <w:left w:val="single" w:color="auto" w:sz="4" w:space="0"/>
              <w:bottom w:val="single" w:color="auto" w:sz="4" w:space="0"/>
              <w:right w:val="single" w:color="auto" w:sz="4" w:space="0"/>
            </w:tcBorders>
            <w:noWrap/>
            <w:vAlign w:val="center"/>
          </w:tcPr>
          <w:p>
            <w:pPr>
              <w:widowControl/>
              <w:rPr>
                <w:rFonts w:ascii="华文楷体" w:hAnsi="华文楷体" w:eastAsia="华文楷体" w:cs="宋体"/>
                <w:color w:val="000000"/>
                <w:kern w:val="0"/>
                <w:szCs w:val="21"/>
              </w:rPr>
            </w:pPr>
          </w:p>
        </w:tc>
        <w:tc>
          <w:tcPr>
            <w:tcW w:w="2975" w:type="dxa"/>
            <w:tcBorders>
              <w:top w:val="nil"/>
              <w:left w:val="nil"/>
              <w:bottom w:val="single" w:color="auto" w:sz="4" w:space="0"/>
              <w:right w:val="single" w:color="auto" w:sz="4" w:space="0"/>
            </w:tcBorders>
            <w:noWrap/>
            <w:vAlign w:val="center"/>
          </w:tcPr>
          <w:p>
            <w:pPr>
              <w:jc w:val="right"/>
              <w:rPr>
                <w:rFonts w:ascii="宋体" w:hAnsi="宋体" w:cs="宋体"/>
                <w:color w:val="000000"/>
                <w:sz w:val="22"/>
              </w:rPr>
            </w:pPr>
          </w:p>
        </w:tc>
        <w:tc>
          <w:tcPr>
            <w:tcW w:w="1080" w:type="dxa"/>
            <w:tcBorders>
              <w:top w:val="nil"/>
              <w:left w:val="nil"/>
              <w:bottom w:val="single" w:color="auto" w:sz="4" w:space="0"/>
              <w:right w:val="single" w:color="auto" w:sz="4" w:space="0"/>
            </w:tcBorders>
            <w:noWrap/>
            <w:vAlign w:val="center"/>
          </w:tcPr>
          <w:p>
            <w:pPr>
              <w:jc w:val="center"/>
              <w:rPr>
                <w:color w:val="000000"/>
                <w:sz w:val="22"/>
              </w:rPr>
            </w:pPr>
          </w:p>
        </w:tc>
      </w:tr>
      <w:tr>
        <w:tblPrEx>
          <w:tblCellMar>
            <w:top w:w="0" w:type="dxa"/>
            <w:left w:w="108" w:type="dxa"/>
            <w:bottom w:w="0" w:type="dxa"/>
            <w:right w:w="108" w:type="dxa"/>
          </w:tblCellMar>
        </w:tblPrEx>
        <w:trPr>
          <w:trHeight w:val="270" w:hRule="atLeast"/>
          <w:jc w:val="center"/>
        </w:trPr>
        <w:tc>
          <w:tcPr>
            <w:tcW w:w="4680" w:type="dxa"/>
            <w:tcBorders>
              <w:top w:val="nil"/>
              <w:left w:val="single" w:color="auto" w:sz="4" w:space="0"/>
              <w:bottom w:val="single" w:color="auto" w:sz="4" w:space="0"/>
              <w:right w:val="single" w:color="auto" w:sz="4" w:space="0"/>
            </w:tcBorders>
            <w:noWrap/>
            <w:vAlign w:val="center"/>
          </w:tcPr>
          <w:p>
            <w:pPr>
              <w:widowControl/>
              <w:rPr>
                <w:rFonts w:ascii="华文楷体" w:hAnsi="华文楷体" w:eastAsia="华文楷体" w:cs="宋体"/>
                <w:color w:val="000000"/>
                <w:kern w:val="0"/>
                <w:szCs w:val="21"/>
              </w:rPr>
            </w:pPr>
            <w:r>
              <w:rPr>
                <w:rFonts w:hint="eastAsia" w:ascii="华文楷体" w:hAnsi="华文楷体" w:eastAsia="华文楷体" w:cs="宋体"/>
                <w:color w:val="000000"/>
                <w:kern w:val="0"/>
                <w:szCs w:val="21"/>
              </w:rPr>
              <w:t>递延所得税负债</w:t>
            </w:r>
          </w:p>
        </w:tc>
        <w:tc>
          <w:tcPr>
            <w:tcW w:w="2975" w:type="dxa"/>
            <w:tcBorders>
              <w:top w:val="nil"/>
              <w:left w:val="nil"/>
              <w:bottom w:val="single" w:color="auto" w:sz="4" w:space="0"/>
              <w:right w:val="single" w:color="auto" w:sz="4" w:space="0"/>
            </w:tcBorders>
            <w:noWrap/>
            <w:vAlign w:val="center"/>
          </w:tcPr>
          <w:p>
            <w:pPr>
              <w:jc w:val="right"/>
              <w:rPr>
                <w:color w:val="000000"/>
                <w:sz w:val="22"/>
              </w:rPr>
            </w:pPr>
          </w:p>
        </w:tc>
        <w:tc>
          <w:tcPr>
            <w:tcW w:w="1080" w:type="dxa"/>
            <w:tcBorders>
              <w:top w:val="nil"/>
              <w:left w:val="nil"/>
              <w:bottom w:val="single" w:color="auto" w:sz="4" w:space="0"/>
              <w:right w:val="single" w:color="auto" w:sz="4" w:space="0"/>
            </w:tcBorders>
            <w:noWrap/>
            <w:vAlign w:val="center"/>
          </w:tcPr>
          <w:p>
            <w:pPr>
              <w:jc w:val="center"/>
              <w:rPr>
                <w:color w:val="000000"/>
                <w:sz w:val="22"/>
              </w:rPr>
            </w:pPr>
            <w:r>
              <w:rPr>
                <w:rFonts w:hint="eastAsia"/>
                <w:color w:val="000000"/>
                <w:sz w:val="22"/>
              </w:rPr>
              <w:t>　</w:t>
            </w:r>
          </w:p>
        </w:tc>
      </w:tr>
      <w:tr>
        <w:tblPrEx>
          <w:tblCellMar>
            <w:top w:w="0" w:type="dxa"/>
            <w:left w:w="108" w:type="dxa"/>
            <w:bottom w:w="0" w:type="dxa"/>
            <w:right w:w="108" w:type="dxa"/>
          </w:tblCellMar>
        </w:tblPrEx>
        <w:trPr>
          <w:trHeight w:val="510" w:hRule="atLeast"/>
          <w:jc w:val="center"/>
        </w:trPr>
        <w:tc>
          <w:tcPr>
            <w:tcW w:w="4680" w:type="dxa"/>
            <w:tcBorders>
              <w:top w:val="nil"/>
              <w:left w:val="single" w:color="auto" w:sz="4" w:space="0"/>
              <w:bottom w:val="single" w:color="auto" w:sz="4" w:space="0"/>
              <w:right w:val="single" w:color="auto" w:sz="4" w:space="0"/>
            </w:tcBorders>
            <w:noWrap w:val="0"/>
            <w:vAlign w:val="center"/>
          </w:tcPr>
          <w:p>
            <w:pPr>
              <w:widowControl/>
              <w:jc w:val="left"/>
              <w:rPr>
                <w:rFonts w:ascii="华文楷体" w:hAnsi="华文楷体" w:eastAsia="华文楷体" w:cs="宋体"/>
                <w:color w:val="000000"/>
                <w:kern w:val="0"/>
                <w:szCs w:val="21"/>
              </w:rPr>
            </w:pPr>
            <w:r>
              <w:rPr>
                <w:rFonts w:hint="eastAsia" w:ascii="华文楷体" w:hAnsi="华文楷体" w:eastAsia="华文楷体" w:cs="宋体"/>
                <w:color w:val="000000"/>
                <w:kern w:val="0"/>
                <w:szCs w:val="21"/>
              </w:rPr>
              <w:t>其中：与其他无形资产（不含土地使用权）相关的递延税负债</w:t>
            </w:r>
          </w:p>
        </w:tc>
        <w:tc>
          <w:tcPr>
            <w:tcW w:w="2975" w:type="dxa"/>
            <w:tcBorders>
              <w:top w:val="nil"/>
              <w:left w:val="nil"/>
              <w:bottom w:val="single" w:color="auto" w:sz="4" w:space="0"/>
              <w:right w:val="single" w:color="auto" w:sz="4" w:space="0"/>
            </w:tcBorders>
            <w:noWrap/>
            <w:vAlign w:val="center"/>
          </w:tcPr>
          <w:p>
            <w:pPr>
              <w:widowControl/>
              <w:jc w:val="right"/>
              <w:textAlignment w:val="center"/>
              <w:rPr>
                <w:color w:val="000000"/>
                <w:sz w:val="20"/>
                <w:szCs w:val="20"/>
              </w:rPr>
            </w:pPr>
            <w:r>
              <w:rPr>
                <w:color w:val="000000"/>
                <w:kern w:val="0"/>
                <w:sz w:val="20"/>
                <w:szCs w:val="20"/>
              </w:rPr>
              <w:t>1</w:t>
            </w:r>
          </w:p>
        </w:tc>
        <w:tc>
          <w:tcPr>
            <w:tcW w:w="1080" w:type="dxa"/>
            <w:tcBorders>
              <w:top w:val="nil"/>
              <w:left w:val="nil"/>
              <w:bottom w:val="single" w:color="auto" w:sz="4" w:space="0"/>
              <w:right w:val="single" w:color="auto" w:sz="4" w:space="0"/>
            </w:tcBorders>
            <w:noWrap/>
            <w:vAlign w:val="center"/>
          </w:tcPr>
          <w:p>
            <w:pPr>
              <w:jc w:val="center"/>
              <w:rPr>
                <w:color w:val="000000"/>
                <w:sz w:val="20"/>
                <w:szCs w:val="20"/>
              </w:rPr>
            </w:pPr>
            <w:r>
              <w:rPr>
                <w:color w:val="000000"/>
                <w:sz w:val="20"/>
                <w:szCs w:val="20"/>
              </w:rPr>
              <w:t>f</w:t>
            </w:r>
          </w:p>
        </w:tc>
      </w:tr>
      <w:tr>
        <w:tblPrEx>
          <w:tblCellMar>
            <w:top w:w="0" w:type="dxa"/>
            <w:left w:w="108" w:type="dxa"/>
            <w:bottom w:w="0" w:type="dxa"/>
            <w:right w:w="108" w:type="dxa"/>
          </w:tblCellMar>
        </w:tblPrEx>
        <w:trPr>
          <w:trHeight w:val="270" w:hRule="atLeas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2975" w:type="dxa"/>
            <w:tcBorders>
              <w:top w:val="nil"/>
              <w:left w:val="nil"/>
              <w:bottom w:val="single" w:color="auto" w:sz="4" w:space="0"/>
              <w:right w:val="single" w:color="auto" w:sz="4" w:space="0"/>
            </w:tcBorders>
            <w:noWrap/>
            <w:vAlign w:val="center"/>
          </w:tcPr>
          <w:p>
            <w:pPr>
              <w:jc w:val="right"/>
              <w:rPr>
                <w:rFonts w:ascii="宋体" w:hAnsi="宋体" w:cs="宋体"/>
                <w:color w:val="000000"/>
                <w:sz w:val="22"/>
              </w:rPr>
            </w:pPr>
          </w:p>
        </w:tc>
        <w:tc>
          <w:tcPr>
            <w:tcW w:w="1080" w:type="dxa"/>
            <w:tcBorders>
              <w:top w:val="nil"/>
              <w:left w:val="nil"/>
              <w:bottom w:val="single" w:color="auto" w:sz="4" w:space="0"/>
              <w:right w:val="single" w:color="auto" w:sz="4" w:space="0"/>
            </w:tcBorders>
            <w:noWrap/>
            <w:vAlign w:val="center"/>
          </w:tcPr>
          <w:p>
            <w:pPr>
              <w:jc w:val="center"/>
              <w:rPr>
                <w:color w:val="000000"/>
                <w:sz w:val="22"/>
              </w:rPr>
            </w:pPr>
            <w:r>
              <w:rPr>
                <w:rFonts w:hint="eastAsia"/>
                <w:color w:val="000000"/>
                <w:sz w:val="22"/>
              </w:rPr>
              <w:t>　</w:t>
            </w:r>
          </w:p>
        </w:tc>
      </w:tr>
      <w:tr>
        <w:tblPrEx>
          <w:tblCellMar>
            <w:top w:w="0" w:type="dxa"/>
            <w:left w:w="108" w:type="dxa"/>
            <w:bottom w:w="0" w:type="dxa"/>
            <w:right w:w="108" w:type="dxa"/>
          </w:tblCellMar>
        </w:tblPrEx>
        <w:trPr>
          <w:trHeight w:val="270" w:hRule="atLeast"/>
          <w:jc w:val="center"/>
        </w:trPr>
        <w:tc>
          <w:tcPr>
            <w:tcW w:w="4680" w:type="dxa"/>
            <w:tcBorders>
              <w:top w:val="nil"/>
              <w:left w:val="single" w:color="auto" w:sz="4" w:space="0"/>
              <w:bottom w:val="single" w:color="auto" w:sz="4" w:space="0"/>
              <w:right w:val="single" w:color="auto" w:sz="4" w:space="0"/>
            </w:tcBorders>
            <w:noWrap/>
            <w:vAlign w:val="center"/>
          </w:tcPr>
          <w:p>
            <w:pPr>
              <w:widowControl/>
              <w:rPr>
                <w:rFonts w:ascii="华文楷体" w:hAnsi="华文楷体" w:eastAsia="华文楷体" w:cs="宋体"/>
                <w:color w:val="000000"/>
                <w:kern w:val="0"/>
                <w:szCs w:val="21"/>
              </w:rPr>
            </w:pPr>
            <w:r>
              <w:rPr>
                <w:rFonts w:hint="eastAsia" w:ascii="华文楷体" w:hAnsi="华文楷体" w:eastAsia="华文楷体" w:cs="宋体"/>
                <w:color w:val="000000"/>
                <w:kern w:val="0"/>
                <w:szCs w:val="21"/>
              </w:rPr>
              <w:t>已发行债务证券</w:t>
            </w:r>
          </w:p>
        </w:tc>
        <w:tc>
          <w:tcPr>
            <w:tcW w:w="2975" w:type="dxa"/>
            <w:tcBorders>
              <w:top w:val="nil"/>
              <w:left w:val="nil"/>
              <w:bottom w:val="single" w:color="auto" w:sz="4" w:space="0"/>
              <w:right w:val="single" w:color="auto" w:sz="4" w:space="0"/>
            </w:tcBorders>
            <w:noWrap/>
            <w:vAlign w:val="center"/>
          </w:tcPr>
          <w:p>
            <w:pPr>
              <w:widowControl/>
              <w:jc w:val="right"/>
              <w:textAlignment w:val="center"/>
              <w:rPr>
                <w:color w:val="000000"/>
                <w:sz w:val="20"/>
                <w:szCs w:val="20"/>
              </w:rPr>
            </w:pPr>
            <w:r>
              <w:rPr>
                <w:color w:val="000000"/>
                <w:kern w:val="0"/>
                <w:sz w:val="20"/>
                <w:szCs w:val="20"/>
              </w:rPr>
              <w:t>281,259</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000000"/>
                <w:sz w:val="22"/>
              </w:rPr>
            </w:pPr>
            <w:r>
              <w:rPr>
                <w:rFonts w:hint="eastAsia"/>
                <w:color w:val="000000"/>
                <w:sz w:val="22"/>
              </w:rPr>
              <w:t>　</w:t>
            </w:r>
          </w:p>
        </w:tc>
      </w:tr>
      <w:tr>
        <w:tblPrEx>
          <w:tblCellMar>
            <w:top w:w="0" w:type="dxa"/>
            <w:left w:w="108" w:type="dxa"/>
            <w:bottom w:w="0" w:type="dxa"/>
            <w:right w:w="108" w:type="dxa"/>
          </w:tblCellMar>
        </w:tblPrEx>
        <w:trPr>
          <w:trHeight w:val="270" w:hRule="atLeas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ascii="华文楷体" w:hAnsi="华文楷体" w:eastAsia="华文楷体" w:cs="宋体"/>
                <w:color w:val="000000"/>
                <w:kern w:val="0"/>
                <w:szCs w:val="21"/>
              </w:rPr>
            </w:pPr>
            <w:r>
              <w:rPr>
                <w:rFonts w:hint="eastAsia" w:ascii="华文楷体" w:hAnsi="华文楷体" w:eastAsia="华文楷体" w:cs="宋体"/>
                <w:color w:val="000000"/>
                <w:kern w:val="0"/>
                <w:szCs w:val="21"/>
              </w:rPr>
              <w:t>其中：二级资本工具及其溢价可计入部分</w:t>
            </w:r>
          </w:p>
        </w:tc>
        <w:tc>
          <w:tcPr>
            <w:tcW w:w="2975" w:type="dxa"/>
            <w:tcBorders>
              <w:top w:val="nil"/>
              <w:left w:val="nil"/>
              <w:bottom w:val="single" w:color="auto" w:sz="4" w:space="0"/>
              <w:right w:val="single" w:color="auto" w:sz="4" w:space="0"/>
            </w:tcBorders>
            <w:noWrap/>
            <w:vAlign w:val="center"/>
          </w:tcPr>
          <w:p>
            <w:pPr>
              <w:widowControl/>
              <w:jc w:val="right"/>
              <w:textAlignment w:val="center"/>
              <w:rPr>
                <w:color w:val="000000"/>
                <w:sz w:val="20"/>
                <w:szCs w:val="20"/>
              </w:rPr>
            </w:pPr>
            <w:r>
              <w:rPr>
                <w:color w:val="000000"/>
                <w:kern w:val="0"/>
                <w:sz w:val="20"/>
                <w:szCs w:val="20"/>
              </w:rPr>
              <w:t>20,000</w:t>
            </w:r>
          </w:p>
        </w:tc>
        <w:tc>
          <w:tcPr>
            <w:tcW w:w="1080" w:type="dxa"/>
            <w:tcBorders>
              <w:top w:val="nil"/>
              <w:left w:val="nil"/>
              <w:bottom w:val="single" w:color="auto" w:sz="4" w:space="0"/>
              <w:right w:val="single" w:color="auto" w:sz="4" w:space="0"/>
            </w:tcBorders>
            <w:noWrap/>
            <w:vAlign w:val="center"/>
          </w:tcPr>
          <w:p>
            <w:pPr>
              <w:jc w:val="center"/>
              <w:rPr>
                <w:color w:val="000000"/>
                <w:sz w:val="20"/>
                <w:szCs w:val="20"/>
              </w:rPr>
            </w:pPr>
            <w:r>
              <w:rPr>
                <w:color w:val="000000"/>
                <w:sz w:val="20"/>
                <w:szCs w:val="20"/>
              </w:rPr>
              <w:t>g</w:t>
            </w:r>
          </w:p>
        </w:tc>
      </w:tr>
      <w:tr>
        <w:tblPrEx>
          <w:tblCellMar>
            <w:top w:w="0" w:type="dxa"/>
            <w:left w:w="108" w:type="dxa"/>
            <w:bottom w:w="0" w:type="dxa"/>
            <w:right w:w="108" w:type="dxa"/>
          </w:tblCellMar>
        </w:tblPrEx>
        <w:trPr>
          <w:trHeight w:val="270" w:hRule="atLeas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w:t>
            </w:r>
          </w:p>
        </w:tc>
        <w:tc>
          <w:tcPr>
            <w:tcW w:w="2975" w:type="dxa"/>
            <w:tcBorders>
              <w:top w:val="nil"/>
              <w:left w:val="nil"/>
              <w:bottom w:val="single" w:color="auto" w:sz="4" w:space="0"/>
              <w:right w:val="single" w:color="auto" w:sz="4" w:space="0"/>
            </w:tcBorders>
            <w:noWrap/>
            <w:vAlign w:val="center"/>
          </w:tcPr>
          <w:p>
            <w:pPr>
              <w:jc w:val="right"/>
              <w:rPr>
                <w:rFonts w:ascii="宋体" w:hAnsi="宋体" w:cs="宋体"/>
                <w:color w:val="000000"/>
                <w:sz w:val="22"/>
              </w:rPr>
            </w:pPr>
          </w:p>
        </w:tc>
        <w:tc>
          <w:tcPr>
            <w:tcW w:w="1080" w:type="dxa"/>
            <w:tcBorders>
              <w:top w:val="nil"/>
              <w:left w:val="nil"/>
              <w:bottom w:val="single" w:color="auto" w:sz="4" w:space="0"/>
              <w:right w:val="single" w:color="auto" w:sz="4" w:space="0"/>
            </w:tcBorders>
            <w:noWrap/>
            <w:vAlign w:val="center"/>
          </w:tcPr>
          <w:p>
            <w:pPr>
              <w:jc w:val="center"/>
              <w:rPr>
                <w:color w:val="000000"/>
                <w:sz w:val="22"/>
              </w:rPr>
            </w:pPr>
            <w:r>
              <w:rPr>
                <w:rFonts w:hint="eastAsia"/>
                <w:color w:val="000000"/>
                <w:sz w:val="22"/>
              </w:rPr>
              <w:t>　</w:t>
            </w:r>
          </w:p>
        </w:tc>
      </w:tr>
      <w:tr>
        <w:tblPrEx>
          <w:tblCellMar>
            <w:top w:w="0" w:type="dxa"/>
            <w:left w:w="108" w:type="dxa"/>
            <w:bottom w:w="0" w:type="dxa"/>
            <w:right w:w="108" w:type="dxa"/>
          </w:tblCellMar>
        </w:tblPrEx>
        <w:trPr>
          <w:trHeight w:val="270" w:hRule="atLeast"/>
          <w:jc w:val="center"/>
        </w:trPr>
        <w:tc>
          <w:tcPr>
            <w:tcW w:w="4680" w:type="dxa"/>
            <w:tcBorders>
              <w:top w:val="nil"/>
              <w:left w:val="single" w:color="auto" w:sz="4" w:space="0"/>
              <w:bottom w:val="single" w:color="auto" w:sz="4" w:space="0"/>
              <w:right w:val="single" w:color="auto" w:sz="4" w:space="0"/>
            </w:tcBorders>
            <w:noWrap/>
            <w:vAlign w:val="center"/>
          </w:tcPr>
          <w:p>
            <w:pPr>
              <w:widowControl/>
              <w:rPr>
                <w:rFonts w:ascii="华文楷体" w:hAnsi="华文楷体" w:eastAsia="华文楷体" w:cs="宋体"/>
                <w:color w:val="000000"/>
                <w:kern w:val="0"/>
                <w:szCs w:val="21"/>
              </w:rPr>
            </w:pPr>
            <w:r>
              <w:rPr>
                <w:rFonts w:hint="eastAsia" w:ascii="华文楷体" w:hAnsi="华文楷体" w:eastAsia="华文楷体" w:cs="宋体"/>
                <w:color w:val="000000"/>
                <w:kern w:val="0"/>
                <w:szCs w:val="21"/>
              </w:rPr>
              <w:t>少数股东权益</w:t>
            </w:r>
          </w:p>
        </w:tc>
        <w:tc>
          <w:tcPr>
            <w:tcW w:w="2975" w:type="dxa"/>
            <w:tcBorders>
              <w:top w:val="nil"/>
              <w:left w:val="nil"/>
              <w:bottom w:val="single" w:color="auto" w:sz="4" w:space="0"/>
              <w:right w:val="single" w:color="auto" w:sz="4" w:space="0"/>
            </w:tcBorders>
            <w:noWrap/>
            <w:vAlign w:val="center"/>
          </w:tcPr>
          <w:p>
            <w:pPr>
              <w:widowControl/>
              <w:jc w:val="right"/>
              <w:textAlignment w:val="center"/>
              <w:rPr>
                <w:color w:val="000000"/>
                <w:sz w:val="20"/>
                <w:szCs w:val="20"/>
              </w:rPr>
            </w:pPr>
            <w:r>
              <w:rPr>
                <w:color w:val="000000"/>
                <w:kern w:val="0"/>
                <w:sz w:val="20"/>
                <w:szCs w:val="20"/>
              </w:rPr>
              <w:t>577</w:t>
            </w:r>
          </w:p>
        </w:tc>
        <w:tc>
          <w:tcPr>
            <w:tcW w:w="1080" w:type="dxa"/>
            <w:tcBorders>
              <w:top w:val="nil"/>
              <w:left w:val="nil"/>
              <w:bottom w:val="single" w:color="auto" w:sz="4" w:space="0"/>
              <w:right w:val="single" w:color="auto" w:sz="4" w:space="0"/>
            </w:tcBorders>
            <w:noWrap/>
            <w:vAlign w:val="center"/>
          </w:tcPr>
          <w:p>
            <w:pPr>
              <w:jc w:val="center"/>
              <w:rPr>
                <w:rFonts w:ascii="宋体" w:hAnsi="宋体" w:cs="宋体"/>
                <w:color w:val="000000"/>
                <w:sz w:val="22"/>
              </w:rPr>
            </w:pPr>
            <w:r>
              <w:rPr>
                <w:rFonts w:hint="eastAsia"/>
                <w:color w:val="000000"/>
                <w:sz w:val="22"/>
              </w:rPr>
              <w:t>　</w:t>
            </w:r>
          </w:p>
        </w:tc>
      </w:tr>
      <w:tr>
        <w:tblPrEx>
          <w:tblCellMar>
            <w:top w:w="0" w:type="dxa"/>
            <w:left w:w="108" w:type="dxa"/>
            <w:bottom w:w="0" w:type="dxa"/>
            <w:right w:w="108" w:type="dxa"/>
          </w:tblCellMar>
        </w:tblPrEx>
        <w:trPr>
          <w:trHeight w:val="270" w:hRule="atLeas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ascii="华文楷体" w:hAnsi="华文楷体" w:eastAsia="华文楷体" w:cs="宋体"/>
                <w:color w:val="000000"/>
                <w:kern w:val="0"/>
                <w:szCs w:val="21"/>
              </w:rPr>
            </w:pPr>
            <w:r>
              <w:rPr>
                <w:rFonts w:hint="eastAsia" w:ascii="华文楷体" w:hAnsi="华文楷体" w:eastAsia="华文楷体" w:cs="宋体"/>
                <w:color w:val="000000"/>
                <w:kern w:val="0"/>
                <w:szCs w:val="21"/>
              </w:rPr>
              <w:t>其中：可计入核心一级资本</w:t>
            </w:r>
          </w:p>
        </w:tc>
        <w:tc>
          <w:tcPr>
            <w:tcW w:w="2975" w:type="dxa"/>
            <w:tcBorders>
              <w:top w:val="nil"/>
              <w:left w:val="nil"/>
              <w:bottom w:val="single" w:color="auto" w:sz="4" w:space="0"/>
              <w:right w:val="single" w:color="auto" w:sz="4" w:space="0"/>
            </w:tcBorders>
            <w:noWrap/>
            <w:vAlign w:val="center"/>
          </w:tcPr>
          <w:p>
            <w:pPr>
              <w:widowControl/>
              <w:jc w:val="right"/>
              <w:textAlignment w:val="center"/>
              <w:rPr>
                <w:color w:val="000000"/>
                <w:sz w:val="20"/>
                <w:szCs w:val="20"/>
              </w:rPr>
            </w:pPr>
            <w:r>
              <w:rPr>
                <w:color w:val="000000"/>
                <w:kern w:val="0"/>
                <w:sz w:val="20"/>
                <w:szCs w:val="20"/>
              </w:rPr>
              <w:t>133</w:t>
            </w:r>
          </w:p>
        </w:tc>
        <w:tc>
          <w:tcPr>
            <w:tcW w:w="1080" w:type="dxa"/>
            <w:tcBorders>
              <w:top w:val="nil"/>
              <w:left w:val="nil"/>
              <w:bottom w:val="single" w:color="auto" w:sz="4" w:space="0"/>
              <w:right w:val="single" w:color="auto" w:sz="4" w:space="0"/>
            </w:tcBorders>
            <w:noWrap/>
            <w:vAlign w:val="center"/>
          </w:tcPr>
          <w:p>
            <w:pPr>
              <w:jc w:val="center"/>
              <w:rPr>
                <w:color w:val="000000"/>
                <w:sz w:val="20"/>
                <w:szCs w:val="20"/>
              </w:rPr>
            </w:pPr>
            <w:r>
              <w:rPr>
                <w:color w:val="000000"/>
                <w:sz w:val="20"/>
                <w:szCs w:val="20"/>
              </w:rPr>
              <w:t>h</w:t>
            </w:r>
          </w:p>
        </w:tc>
      </w:tr>
      <w:tr>
        <w:tblPrEx>
          <w:tblCellMar>
            <w:top w:w="0" w:type="dxa"/>
            <w:left w:w="108" w:type="dxa"/>
            <w:bottom w:w="0" w:type="dxa"/>
            <w:right w:w="108" w:type="dxa"/>
          </w:tblCellMar>
        </w:tblPrEx>
        <w:trPr>
          <w:trHeight w:val="270" w:hRule="atLeas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ascii="华文楷体" w:hAnsi="华文楷体" w:eastAsia="华文楷体" w:cs="宋体"/>
                <w:color w:val="000000"/>
                <w:kern w:val="0"/>
                <w:szCs w:val="21"/>
              </w:rPr>
            </w:pPr>
            <w:r>
              <w:rPr>
                <w:rFonts w:hint="eastAsia" w:ascii="华文楷体" w:hAnsi="华文楷体" w:eastAsia="华文楷体" w:cs="宋体"/>
                <w:color w:val="000000"/>
                <w:kern w:val="0"/>
                <w:szCs w:val="21"/>
              </w:rPr>
              <w:t>其中：可计入其他一级资本</w:t>
            </w:r>
          </w:p>
        </w:tc>
        <w:tc>
          <w:tcPr>
            <w:tcW w:w="2975" w:type="dxa"/>
            <w:tcBorders>
              <w:top w:val="nil"/>
              <w:left w:val="nil"/>
              <w:bottom w:val="single" w:color="auto" w:sz="4" w:space="0"/>
              <w:right w:val="single" w:color="auto" w:sz="4" w:space="0"/>
            </w:tcBorders>
            <w:noWrap/>
            <w:vAlign w:val="center"/>
          </w:tcPr>
          <w:p>
            <w:pPr>
              <w:widowControl/>
              <w:jc w:val="right"/>
              <w:textAlignment w:val="center"/>
              <w:rPr>
                <w:color w:val="000000"/>
                <w:sz w:val="20"/>
                <w:szCs w:val="20"/>
              </w:rPr>
            </w:pPr>
            <w:r>
              <w:rPr>
                <w:color w:val="000000"/>
                <w:kern w:val="0"/>
                <w:sz w:val="20"/>
                <w:szCs w:val="20"/>
              </w:rPr>
              <w:t>18</w:t>
            </w:r>
          </w:p>
        </w:tc>
        <w:tc>
          <w:tcPr>
            <w:tcW w:w="1080" w:type="dxa"/>
            <w:tcBorders>
              <w:top w:val="nil"/>
              <w:left w:val="nil"/>
              <w:bottom w:val="single" w:color="auto" w:sz="4" w:space="0"/>
              <w:right w:val="single" w:color="auto" w:sz="4" w:space="0"/>
            </w:tcBorders>
            <w:noWrap/>
            <w:vAlign w:val="center"/>
          </w:tcPr>
          <w:p>
            <w:pPr>
              <w:jc w:val="center"/>
              <w:rPr>
                <w:color w:val="000000"/>
                <w:sz w:val="20"/>
                <w:szCs w:val="20"/>
              </w:rPr>
            </w:pPr>
            <w:r>
              <w:rPr>
                <w:color w:val="000000"/>
                <w:sz w:val="20"/>
                <w:szCs w:val="20"/>
              </w:rPr>
              <w:t>i</w:t>
            </w:r>
          </w:p>
        </w:tc>
      </w:tr>
      <w:tr>
        <w:tblPrEx>
          <w:tblCellMar>
            <w:top w:w="0" w:type="dxa"/>
            <w:left w:w="108" w:type="dxa"/>
            <w:bottom w:w="0" w:type="dxa"/>
            <w:right w:w="108" w:type="dxa"/>
          </w:tblCellMar>
        </w:tblPrEx>
        <w:trPr>
          <w:trHeight w:val="270" w:hRule="atLeast"/>
          <w:jc w:val="center"/>
        </w:trPr>
        <w:tc>
          <w:tcPr>
            <w:tcW w:w="4680" w:type="dxa"/>
            <w:tcBorders>
              <w:top w:val="nil"/>
              <w:left w:val="single" w:color="auto" w:sz="4" w:space="0"/>
              <w:bottom w:val="single" w:color="auto" w:sz="4" w:space="0"/>
              <w:right w:val="single" w:color="auto" w:sz="4" w:space="0"/>
            </w:tcBorders>
            <w:noWrap/>
            <w:vAlign w:val="center"/>
          </w:tcPr>
          <w:p>
            <w:pPr>
              <w:widowControl/>
              <w:jc w:val="left"/>
              <w:rPr>
                <w:rFonts w:ascii="华文楷体" w:hAnsi="华文楷体" w:eastAsia="华文楷体" w:cs="宋体"/>
                <w:color w:val="000000"/>
                <w:kern w:val="0"/>
                <w:szCs w:val="21"/>
              </w:rPr>
            </w:pPr>
            <w:r>
              <w:rPr>
                <w:rFonts w:hint="eastAsia" w:ascii="华文楷体" w:hAnsi="华文楷体" w:eastAsia="华文楷体" w:cs="宋体"/>
                <w:color w:val="000000"/>
                <w:kern w:val="0"/>
                <w:szCs w:val="21"/>
              </w:rPr>
              <w:t>其中：可计入二级资本</w:t>
            </w:r>
          </w:p>
        </w:tc>
        <w:tc>
          <w:tcPr>
            <w:tcW w:w="2975" w:type="dxa"/>
            <w:tcBorders>
              <w:top w:val="nil"/>
              <w:left w:val="nil"/>
              <w:bottom w:val="single" w:color="auto" w:sz="4" w:space="0"/>
              <w:right w:val="single" w:color="auto" w:sz="4" w:space="0"/>
            </w:tcBorders>
            <w:noWrap/>
            <w:vAlign w:val="center"/>
          </w:tcPr>
          <w:p>
            <w:pPr>
              <w:widowControl/>
              <w:jc w:val="right"/>
              <w:textAlignment w:val="center"/>
              <w:rPr>
                <w:color w:val="000000"/>
                <w:sz w:val="20"/>
                <w:szCs w:val="20"/>
              </w:rPr>
            </w:pPr>
            <w:r>
              <w:rPr>
                <w:color w:val="000000"/>
                <w:kern w:val="0"/>
                <w:sz w:val="20"/>
                <w:szCs w:val="20"/>
              </w:rPr>
              <w:t>35</w:t>
            </w:r>
          </w:p>
        </w:tc>
        <w:tc>
          <w:tcPr>
            <w:tcW w:w="1080" w:type="dxa"/>
            <w:tcBorders>
              <w:top w:val="nil"/>
              <w:left w:val="nil"/>
              <w:bottom w:val="single" w:color="auto" w:sz="4" w:space="0"/>
              <w:right w:val="single" w:color="auto" w:sz="4" w:space="0"/>
            </w:tcBorders>
            <w:noWrap/>
            <w:vAlign w:val="center"/>
          </w:tcPr>
          <w:p>
            <w:pPr>
              <w:jc w:val="center"/>
              <w:rPr>
                <w:color w:val="000000"/>
                <w:sz w:val="20"/>
                <w:szCs w:val="20"/>
              </w:rPr>
            </w:pPr>
            <w:r>
              <w:rPr>
                <w:color w:val="000000"/>
                <w:sz w:val="20"/>
                <w:szCs w:val="20"/>
              </w:rPr>
              <w:t>j</w:t>
            </w:r>
          </w:p>
        </w:tc>
      </w:tr>
    </w:tbl>
    <w:p>
      <w:pPr>
        <w:rPr>
          <w:sz w:val="20"/>
          <w:szCs w:val="20"/>
        </w:rPr>
        <w:sectPr>
          <w:pgSz w:w="11906" w:h="16838"/>
          <w:pgMar w:top="2041" w:right="1474" w:bottom="1247" w:left="1474" w:header="851" w:footer="1021" w:gutter="0"/>
          <w:pgNumType w:start="1"/>
          <w:cols w:space="720" w:num="1"/>
          <w:docGrid w:type="lines" w:linePitch="381" w:charSpace="0"/>
        </w:sectPr>
      </w:pPr>
    </w:p>
    <w:p>
      <w:pPr>
        <w:numPr>
          <w:ilvl w:val="0"/>
          <w:numId w:val="1"/>
        </w:numPr>
        <w:rPr>
          <w:rFonts w:eastAsia="华文楷体"/>
          <w:b/>
          <w:sz w:val="24"/>
          <w:szCs w:val="24"/>
        </w:rPr>
      </w:pPr>
      <w:r>
        <w:rPr>
          <w:rFonts w:hint="eastAsia" w:eastAsia="华文楷体"/>
          <w:b/>
          <w:sz w:val="24"/>
          <w:szCs w:val="24"/>
        </w:rPr>
        <w:t>资本工具主要特征</w:t>
      </w:r>
    </w:p>
    <w:tbl>
      <w:tblPr>
        <w:tblStyle w:val="6"/>
        <w:tblW w:w="9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7"/>
        <w:gridCol w:w="1638"/>
        <w:gridCol w:w="2596"/>
        <w:gridCol w:w="2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3247" w:type="dxa"/>
            <w:noWrap/>
            <w:vAlign w:val="center"/>
          </w:tcPr>
          <w:p>
            <w:pPr>
              <w:widowControl/>
              <w:rPr>
                <w:rFonts w:ascii="华文楷体" w:hAnsi="华文楷体" w:eastAsia="华文楷体" w:cs="宋体"/>
                <w:color w:val="000000"/>
                <w:kern w:val="0"/>
                <w:sz w:val="20"/>
                <w:szCs w:val="20"/>
              </w:rPr>
            </w:pP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股本</w:t>
            </w:r>
          </w:p>
        </w:tc>
        <w:tc>
          <w:tcPr>
            <w:tcW w:w="2596" w:type="dxa"/>
            <w:noWrap w:val="0"/>
            <w:vAlign w:val="top"/>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优先股</w:t>
            </w:r>
          </w:p>
        </w:tc>
        <w:tc>
          <w:tcPr>
            <w:tcW w:w="2032" w:type="dxa"/>
            <w:noWrap w:val="0"/>
            <w:vAlign w:val="top"/>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二级</w:t>
            </w:r>
            <w:r>
              <w:rPr>
                <w:rFonts w:ascii="华文楷体" w:hAnsi="华文楷体" w:eastAsia="华文楷体" w:cs="宋体"/>
                <w:color w:val="000000"/>
                <w:kern w:val="0"/>
                <w:sz w:val="20"/>
                <w:szCs w:val="20"/>
              </w:rPr>
              <w:t>资本工具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发行机构</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本行</w:t>
            </w:r>
          </w:p>
        </w:tc>
        <w:tc>
          <w:tcPr>
            <w:tcW w:w="2596" w:type="dxa"/>
            <w:noWrap w:val="0"/>
            <w:vAlign w:val="center"/>
          </w:tcPr>
          <w:p>
            <w:pPr>
              <w:widowControl/>
              <w:jc w:val="center"/>
              <w:rPr>
                <w:rFonts w:ascii="华文楷体" w:hAnsi="华文楷体" w:eastAsia="华文楷体"/>
                <w:color w:val="000000"/>
                <w:kern w:val="0"/>
                <w:sz w:val="20"/>
                <w:szCs w:val="20"/>
              </w:rPr>
            </w:pPr>
            <w:r>
              <w:rPr>
                <w:rFonts w:hint="eastAsia" w:ascii="华文楷体" w:hAnsi="华文楷体" w:eastAsia="华文楷体"/>
                <w:color w:val="000000"/>
                <w:sz w:val="20"/>
                <w:szCs w:val="20"/>
              </w:rPr>
              <w:t>本行</w:t>
            </w:r>
          </w:p>
        </w:tc>
        <w:tc>
          <w:tcPr>
            <w:tcW w:w="2032" w:type="dxa"/>
            <w:noWrap w:val="0"/>
            <w:vAlign w:val="center"/>
          </w:tcPr>
          <w:p>
            <w:pPr>
              <w:widowControl/>
              <w:jc w:val="center"/>
              <w:rPr>
                <w:rFonts w:ascii="华文楷体" w:hAnsi="华文楷体" w:eastAsia="华文楷体"/>
                <w:color w:val="000000"/>
                <w:kern w:val="0"/>
                <w:sz w:val="20"/>
                <w:szCs w:val="20"/>
              </w:rPr>
            </w:pPr>
            <w:r>
              <w:rPr>
                <w:rFonts w:hint="eastAsia" w:ascii="华文楷体" w:hAnsi="华文楷体" w:eastAsia="华文楷体"/>
                <w:color w:val="000000"/>
                <w:sz w:val="20"/>
                <w:szCs w:val="20"/>
              </w:rPr>
              <w:t>本行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标识码</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不适用</w:t>
            </w:r>
          </w:p>
        </w:tc>
        <w:tc>
          <w:tcPr>
            <w:tcW w:w="2596"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360029</w:t>
            </w:r>
          </w:p>
        </w:tc>
        <w:tc>
          <w:tcPr>
            <w:tcW w:w="2032" w:type="dxa"/>
            <w:noWrap w:val="0"/>
            <w:vAlign w:val="center"/>
          </w:tcPr>
          <w:p>
            <w:pPr>
              <w:jc w:val="center"/>
              <w:rPr>
                <w:color w:val="000000"/>
                <w:sz w:val="20"/>
                <w:szCs w:val="20"/>
              </w:rPr>
            </w:pPr>
            <w:r>
              <w:rPr>
                <w:color w:val="000000"/>
                <w:sz w:val="20"/>
                <w:szCs w:val="20"/>
              </w:rPr>
              <w:t>1920066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适用法律</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中国大陆</w:t>
            </w:r>
          </w:p>
        </w:tc>
        <w:tc>
          <w:tcPr>
            <w:tcW w:w="2596"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中国大陆</w:t>
            </w:r>
          </w:p>
        </w:tc>
        <w:tc>
          <w:tcPr>
            <w:tcW w:w="2032" w:type="dxa"/>
            <w:noWrap w:val="0"/>
            <w:vAlign w:val="center"/>
          </w:tcPr>
          <w:p>
            <w:pPr>
              <w:jc w:val="center"/>
              <w:rPr>
                <w:rFonts w:ascii="华文楷体" w:hAnsi="华文楷体" w:eastAsia="华文楷体" w:cs="宋体"/>
                <w:color w:val="000000"/>
                <w:sz w:val="20"/>
                <w:szCs w:val="20"/>
              </w:rPr>
            </w:pPr>
            <w:r>
              <w:rPr>
                <w:rFonts w:hint="eastAsia" w:ascii="华文楷体" w:hAnsi="华文楷体" w:eastAsia="华文楷体"/>
                <w:color w:val="000000"/>
                <w:sz w:val="20"/>
                <w:szCs w:val="20"/>
              </w:rPr>
              <w:t>中国大陆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监管处理</w:t>
            </w:r>
          </w:p>
        </w:tc>
        <w:tc>
          <w:tcPr>
            <w:tcW w:w="1638" w:type="dxa"/>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596" w:type="dxa"/>
            <w:noWrap w:val="0"/>
            <w:vAlign w:val="center"/>
          </w:tcPr>
          <w:p>
            <w:pPr>
              <w:jc w:val="center"/>
              <w:rPr>
                <w:rFonts w:ascii="宋体" w:hAnsi="宋体"/>
                <w:color w:val="000000"/>
                <w:sz w:val="22"/>
              </w:rPr>
            </w:pPr>
            <w:r>
              <w:rPr>
                <w:rFonts w:hint="eastAsia" w:ascii="Calibri" w:hAnsi="Calibri"/>
                <w:color w:val="000000"/>
                <w:sz w:val="22"/>
              </w:rPr>
              <w:t>　</w:t>
            </w:r>
          </w:p>
        </w:tc>
        <w:tc>
          <w:tcPr>
            <w:tcW w:w="2032" w:type="dxa"/>
            <w:noWrap w:val="0"/>
            <w:vAlign w:val="center"/>
          </w:tcPr>
          <w:p>
            <w:pPr>
              <w:jc w:val="center"/>
              <w:rPr>
                <w:rFonts w:ascii="宋体" w:hAnsi="宋体"/>
                <w:color w:val="000000"/>
                <w:sz w:val="22"/>
              </w:rPr>
            </w:pPr>
            <w:r>
              <w:rPr>
                <w:rFonts w:hint="eastAsia" w:ascii="Calibri" w:hAnsi="Calibri"/>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0"/>
            <w:vAlign w:val="center"/>
          </w:tcPr>
          <w:p>
            <w:pPr>
              <w:widowControl/>
              <w:jc w:val="left"/>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其中：适用《商业银行资本管理办法（试行）》过渡期规则</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核心一级资本</w:t>
            </w:r>
          </w:p>
        </w:tc>
        <w:tc>
          <w:tcPr>
            <w:tcW w:w="2596"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其他一级资本</w:t>
            </w:r>
          </w:p>
        </w:tc>
        <w:tc>
          <w:tcPr>
            <w:tcW w:w="2032"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二级资本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0"/>
            <w:vAlign w:val="center"/>
          </w:tcPr>
          <w:p>
            <w:pPr>
              <w:widowControl/>
              <w:jc w:val="left"/>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其中：适用《商业银行资本管理办法（试行）》过渡期结束后规则</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核心一级资本</w:t>
            </w:r>
          </w:p>
        </w:tc>
        <w:tc>
          <w:tcPr>
            <w:tcW w:w="2596"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其他一级资本</w:t>
            </w:r>
          </w:p>
        </w:tc>
        <w:tc>
          <w:tcPr>
            <w:tcW w:w="2032"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二级资本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jc w:val="left"/>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其中：适用法人</w:t>
            </w:r>
            <w:r>
              <w:rPr>
                <w:rFonts w:eastAsia="华文楷体"/>
                <w:color w:val="000000"/>
                <w:kern w:val="0"/>
                <w:sz w:val="20"/>
                <w:szCs w:val="20"/>
              </w:rPr>
              <w:t>/</w:t>
            </w:r>
            <w:r>
              <w:rPr>
                <w:rFonts w:hint="eastAsia" w:ascii="华文楷体" w:hAnsi="华文楷体" w:eastAsia="华文楷体" w:cs="宋体"/>
                <w:color w:val="000000"/>
                <w:kern w:val="0"/>
                <w:sz w:val="20"/>
                <w:szCs w:val="20"/>
              </w:rPr>
              <w:t>集团层面</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法人</w:t>
            </w:r>
            <w:r>
              <w:rPr>
                <w:rFonts w:eastAsia="华文楷体"/>
                <w:color w:val="000000"/>
                <w:kern w:val="0"/>
                <w:sz w:val="20"/>
                <w:szCs w:val="20"/>
              </w:rPr>
              <w:t>/</w:t>
            </w:r>
            <w:r>
              <w:rPr>
                <w:rFonts w:hint="eastAsia" w:ascii="华文楷体" w:hAnsi="华文楷体" w:eastAsia="华文楷体" w:cs="宋体"/>
                <w:color w:val="000000"/>
                <w:kern w:val="0"/>
                <w:sz w:val="20"/>
                <w:szCs w:val="20"/>
              </w:rPr>
              <w:t>集团</w:t>
            </w:r>
          </w:p>
        </w:tc>
        <w:tc>
          <w:tcPr>
            <w:tcW w:w="2596"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法人</w:t>
            </w:r>
            <w:r>
              <w:rPr>
                <w:rFonts w:eastAsia="华文楷体"/>
                <w:color w:val="000000"/>
                <w:sz w:val="20"/>
                <w:szCs w:val="20"/>
              </w:rPr>
              <w:t>/</w:t>
            </w:r>
            <w:r>
              <w:rPr>
                <w:rFonts w:hint="eastAsia" w:ascii="华文楷体" w:hAnsi="华文楷体" w:eastAsia="华文楷体"/>
                <w:color w:val="000000"/>
                <w:sz w:val="20"/>
                <w:szCs w:val="20"/>
              </w:rPr>
              <w:t>集团</w:t>
            </w:r>
          </w:p>
        </w:tc>
        <w:tc>
          <w:tcPr>
            <w:tcW w:w="2032"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法人</w:t>
            </w:r>
            <w:r>
              <w:rPr>
                <w:rFonts w:eastAsia="华文楷体"/>
                <w:color w:val="000000"/>
                <w:sz w:val="20"/>
                <w:szCs w:val="20"/>
              </w:rPr>
              <w:t>/</w:t>
            </w:r>
            <w:r>
              <w:rPr>
                <w:rFonts w:hint="eastAsia" w:ascii="华文楷体" w:hAnsi="华文楷体" w:eastAsia="华文楷体"/>
                <w:color w:val="000000"/>
                <w:sz w:val="20"/>
                <w:szCs w:val="20"/>
              </w:rPr>
              <w:t>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工具类型</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股本</w:t>
            </w:r>
          </w:p>
        </w:tc>
        <w:tc>
          <w:tcPr>
            <w:tcW w:w="2596"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优先股</w:t>
            </w:r>
          </w:p>
        </w:tc>
        <w:tc>
          <w:tcPr>
            <w:tcW w:w="2032"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二级资本工具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可计入监管资本的数额（单位为百万，最近一期报告日）</w:t>
            </w:r>
          </w:p>
        </w:tc>
        <w:tc>
          <w:tcPr>
            <w:tcW w:w="1638" w:type="dxa"/>
            <w:noWrap/>
            <w:vAlign w:val="center"/>
          </w:tcPr>
          <w:p>
            <w:pPr>
              <w:widowControl/>
              <w:jc w:val="center"/>
              <w:rPr>
                <w:color w:val="000000"/>
                <w:kern w:val="0"/>
                <w:sz w:val="20"/>
                <w:szCs w:val="20"/>
              </w:rPr>
            </w:pPr>
            <w:r>
              <w:rPr>
                <w:rFonts w:hint="eastAsia"/>
                <w:color w:val="000000"/>
                <w:sz w:val="20"/>
                <w:szCs w:val="20"/>
              </w:rPr>
              <w:t>14,207</w:t>
            </w:r>
          </w:p>
        </w:tc>
        <w:tc>
          <w:tcPr>
            <w:tcW w:w="2596" w:type="dxa"/>
            <w:noWrap w:val="0"/>
            <w:vAlign w:val="center"/>
          </w:tcPr>
          <w:p>
            <w:pPr>
              <w:jc w:val="center"/>
              <w:rPr>
                <w:color w:val="000000"/>
                <w:sz w:val="20"/>
                <w:szCs w:val="20"/>
              </w:rPr>
            </w:pPr>
            <w:r>
              <w:rPr>
                <w:color w:val="000000"/>
                <w:sz w:val="20"/>
                <w:szCs w:val="20"/>
              </w:rPr>
              <w:t>19,957</w:t>
            </w:r>
          </w:p>
        </w:tc>
        <w:tc>
          <w:tcPr>
            <w:tcW w:w="2032" w:type="dxa"/>
            <w:noWrap w:val="0"/>
            <w:vAlign w:val="center"/>
          </w:tcPr>
          <w:p>
            <w:pPr>
              <w:jc w:val="center"/>
              <w:rPr>
                <w:color w:val="000000"/>
                <w:sz w:val="20"/>
                <w:szCs w:val="20"/>
              </w:rPr>
            </w:pPr>
            <w:r>
              <w:rPr>
                <w:color w:val="000000"/>
                <w:sz w:val="20"/>
                <w:szCs w:val="20"/>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工具面值（单位为百万，最近一期报告日）</w:t>
            </w:r>
          </w:p>
        </w:tc>
        <w:tc>
          <w:tcPr>
            <w:tcW w:w="1638" w:type="dxa"/>
            <w:noWrap/>
            <w:vAlign w:val="center"/>
          </w:tcPr>
          <w:p>
            <w:pPr>
              <w:jc w:val="center"/>
              <w:rPr>
                <w:color w:val="000000"/>
                <w:sz w:val="20"/>
                <w:szCs w:val="20"/>
              </w:rPr>
            </w:pPr>
            <w:r>
              <w:rPr>
                <w:rFonts w:hint="eastAsia"/>
                <w:color w:val="000000"/>
                <w:sz w:val="20"/>
                <w:szCs w:val="20"/>
              </w:rPr>
              <w:t>14,207</w:t>
            </w:r>
          </w:p>
        </w:tc>
        <w:tc>
          <w:tcPr>
            <w:tcW w:w="2596" w:type="dxa"/>
            <w:noWrap w:val="0"/>
            <w:vAlign w:val="center"/>
          </w:tcPr>
          <w:p>
            <w:pPr>
              <w:jc w:val="center"/>
              <w:rPr>
                <w:color w:val="000000"/>
                <w:sz w:val="20"/>
                <w:szCs w:val="20"/>
              </w:rPr>
            </w:pPr>
            <w:r>
              <w:rPr>
                <w:color w:val="000000"/>
                <w:sz w:val="20"/>
                <w:szCs w:val="20"/>
              </w:rPr>
              <w:t>20,000</w:t>
            </w:r>
          </w:p>
        </w:tc>
        <w:tc>
          <w:tcPr>
            <w:tcW w:w="2032" w:type="dxa"/>
            <w:noWrap w:val="0"/>
            <w:vAlign w:val="center"/>
          </w:tcPr>
          <w:p>
            <w:pPr>
              <w:jc w:val="center"/>
              <w:rPr>
                <w:color w:val="000000"/>
                <w:sz w:val="20"/>
                <w:szCs w:val="20"/>
              </w:rPr>
            </w:pPr>
            <w:r>
              <w:rPr>
                <w:color w:val="000000"/>
                <w:sz w:val="20"/>
                <w:szCs w:val="20"/>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会计处理</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股本</w:t>
            </w:r>
          </w:p>
        </w:tc>
        <w:tc>
          <w:tcPr>
            <w:tcW w:w="2596" w:type="dxa"/>
            <w:noWrap w:val="0"/>
            <w:vAlign w:val="center"/>
          </w:tcPr>
          <w:p>
            <w:pPr>
              <w:jc w:val="center"/>
              <w:rPr>
                <w:rFonts w:ascii="华文楷体" w:hAnsi="华文楷体" w:eastAsia="华文楷体" w:cs="宋体"/>
                <w:color w:val="000000"/>
                <w:sz w:val="20"/>
                <w:szCs w:val="20"/>
              </w:rPr>
            </w:pPr>
            <w:r>
              <w:rPr>
                <w:rFonts w:hint="eastAsia" w:ascii="华文楷体" w:hAnsi="华文楷体" w:eastAsia="华文楷体"/>
                <w:color w:val="000000"/>
                <w:sz w:val="20"/>
                <w:szCs w:val="20"/>
              </w:rPr>
              <w:t>其他权益工具</w:t>
            </w:r>
          </w:p>
        </w:tc>
        <w:tc>
          <w:tcPr>
            <w:tcW w:w="2032" w:type="dxa"/>
            <w:noWrap w:val="0"/>
            <w:vAlign w:val="center"/>
          </w:tcPr>
          <w:p>
            <w:pPr>
              <w:jc w:val="center"/>
              <w:rPr>
                <w:rFonts w:ascii="华文楷体" w:hAnsi="华文楷体" w:eastAsia="华文楷体" w:cs="宋体"/>
                <w:color w:val="000000"/>
                <w:sz w:val="20"/>
                <w:szCs w:val="20"/>
              </w:rPr>
            </w:pPr>
            <w:r>
              <w:rPr>
                <w:rFonts w:hint="eastAsia" w:ascii="华文楷体" w:hAnsi="华文楷体" w:eastAsia="华文楷体"/>
                <w:color w:val="000000"/>
                <w:sz w:val="20"/>
                <w:szCs w:val="20"/>
              </w:rPr>
              <w:t>已发行债务证券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初始发行日</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不适用</w:t>
            </w:r>
          </w:p>
        </w:tc>
        <w:tc>
          <w:tcPr>
            <w:tcW w:w="2596" w:type="dxa"/>
            <w:noWrap w:val="0"/>
            <w:vAlign w:val="center"/>
          </w:tcPr>
          <w:p>
            <w:pPr>
              <w:jc w:val="center"/>
              <w:rPr>
                <w:color w:val="000000"/>
                <w:sz w:val="20"/>
                <w:szCs w:val="20"/>
              </w:rPr>
            </w:pPr>
            <w:r>
              <w:rPr>
                <w:color w:val="000000"/>
                <w:sz w:val="20"/>
                <w:szCs w:val="20"/>
              </w:rPr>
              <w:t>2017年12月14日</w:t>
            </w:r>
          </w:p>
        </w:tc>
        <w:tc>
          <w:tcPr>
            <w:tcW w:w="2032" w:type="dxa"/>
            <w:noWrap w:val="0"/>
            <w:vAlign w:val="center"/>
          </w:tcPr>
          <w:p>
            <w:pPr>
              <w:jc w:val="center"/>
              <w:rPr>
                <w:color w:val="000000"/>
                <w:sz w:val="20"/>
                <w:szCs w:val="20"/>
              </w:rPr>
            </w:pPr>
            <w:r>
              <w:rPr>
                <w:color w:val="000000"/>
                <w:sz w:val="20"/>
                <w:szCs w:val="20"/>
              </w:rPr>
              <w:t>2019年11月8日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是否存在期限（存在期限或永续）</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永续</w:t>
            </w:r>
          </w:p>
        </w:tc>
        <w:tc>
          <w:tcPr>
            <w:tcW w:w="2596" w:type="dxa"/>
            <w:noWrap w:val="0"/>
            <w:vAlign w:val="center"/>
          </w:tcPr>
          <w:p>
            <w:pPr>
              <w:jc w:val="center"/>
              <w:rPr>
                <w:rFonts w:ascii="华文楷体" w:hAnsi="华文楷体" w:eastAsia="华文楷体" w:cs="宋体"/>
                <w:color w:val="000000"/>
                <w:sz w:val="20"/>
                <w:szCs w:val="20"/>
              </w:rPr>
            </w:pPr>
            <w:r>
              <w:rPr>
                <w:rFonts w:hint="eastAsia" w:ascii="华文楷体" w:hAnsi="华文楷体" w:eastAsia="华文楷体"/>
                <w:color w:val="000000"/>
                <w:sz w:val="20"/>
                <w:szCs w:val="20"/>
              </w:rPr>
              <w:t>永续</w:t>
            </w:r>
          </w:p>
        </w:tc>
        <w:tc>
          <w:tcPr>
            <w:tcW w:w="2032" w:type="dxa"/>
            <w:noWrap w:val="0"/>
            <w:vAlign w:val="center"/>
          </w:tcPr>
          <w:p>
            <w:pPr>
              <w:jc w:val="center"/>
              <w:rPr>
                <w:rFonts w:ascii="华文楷体" w:hAnsi="华文楷体" w:eastAsia="华文楷体" w:cs="宋体"/>
                <w:color w:val="000000"/>
                <w:sz w:val="20"/>
                <w:szCs w:val="20"/>
              </w:rPr>
            </w:pPr>
            <w:r>
              <w:rPr>
                <w:rFonts w:hint="eastAsia" w:ascii="华文楷体" w:hAnsi="华文楷体" w:eastAsia="华文楷体"/>
                <w:color w:val="000000"/>
                <w:sz w:val="20"/>
                <w:szCs w:val="20"/>
              </w:rPr>
              <w:t>存在期限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jc w:val="left"/>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其中：原到期日</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无到期日</w:t>
            </w:r>
          </w:p>
        </w:tc>
        <w:tc>
          <w:tcPr>
            <w:tcW w:w="2596"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无到期日</w:t>
            </w:r>
          </w:p>
        </w:tc>
        <w:tc>
          <w:tcPr>
            <w:tcW w:w="2032" w:type="dxa"/>
            <w:noWrap w:val="0"/>
            <w:vAlign w:val="center"/>
          </w:tcPr>
          <w:p>
            <w:pPr>
              <w:jc w:val="center"/>
              <w:rPr>
                <w:color w:val="000000"/>
                <w:sz w:val="20"/>
                <w:szCs w:val="20"/>
              </w:rPr>
            </w:pPr>
            <w:r>
              <w:rPr>
                <w:color w:val="000000"/>
                <w:sz w:val="20"/>
                <w:szCs w:val="20"/>
              </w:rPr>
              <w:t>2029年11月12日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发行人赎回（须经监管审批）</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不适用</w:t>
            </w:r>
          </w:p>
        </w:tc>
        <w:tc>
          <w:tcPr>
            <w:tcW w:w="2596"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是</w:t>
            </w:r>
          </w:p>
        </w:tc>
        <w:tc>
          <w:tcPr>
            <w:tcW w:w="2032" w:type="dxa"/>
            <w:noWrap w:val="0"/>
            <w:vAlign w:val="center"/>
          </w:tcPr>
          <w:p>
            <w:pPr>
              <w:jc w:val="center"/>
              <w:rPr>
                <w:rFonts w:ascii="华文楷体" w:hAnsi="华文楷体" w:eastAsia="华文楷体" w:cs="宋体"/>
                <w:color w:val="000000"/>
                <w:sz w:val="20"/>
                <w:szCs w:val="20"/>
              </w:rPr>
            </w:pPr>
            <w:r>
              <w:rPr>
                <w:rFonts w:hint="eastAsia" w:ascii="华文楷体" w:hAnsi="华文楷体" w:eastAsia="华文楷体"/>
                <w:color w:val="000000"/>
                <w:sz w:val="20"/>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3247" w:type="dxa"/>
            <w:noWrap/>
            <w:vAlign w:val="center"/>
          </w:tcPr>
          <w:p>
            <w:pPr>
              <w:widowControl/>
              <w:jc w:val="left"/>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其中：赎回日期（或有时间赎回日期）及额度（单位为百万）</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不适用</w:t>
            </w:r>
          </w:p>
        </w:tc>
        <w:tc>
          <w:tcPr>
            <w:tcW w:w="2596" w:type="dxa"/>
            <w:noWrap w:val="0"/>
            <w:vAlign w:val="center"/>
          </w:tcPr>
          <w:p>
            <w:pPr>
              <w:jc w:val="left"/>
              <w:rPr>
                <w:rFonts w:ascii="华文楷体" w:hAnsi="华文楷体" w:eastAsia="华文楷体"/>
                <w:color w:val="000000"/>
                <w:sz w:val="20"/>
                <w:szCs w:val="20"/>
              </w:rPr>
            </w:pPr>
            <w:r>
              <w:rPr>
                <w:rFonts w:hint="eastAsia" w:ascii="华文楷体" w:hAnsi="华文楷体" w:eastAsia="华文楷体"/>
                <w:color w:val="000000"/>
                <w:sz w:val="20"/>
                <w:szCs w:val="20"/>
              </w:rPr>
              <w:t>自发行之日起5年后，经中国银监会批准并符合相关要求，本公司有权赎回全部或部分本次优先股</w:t>
            </w:r>
          </w:p>
        </w:tc>
        <w:tc>
          <w:tcPr>
            <w:tcW w:w="2032" w:type="dxa"/>
            <w:noWrap w:val="0"/>
            <w:vAlign w:val="center"/>
          </w:tcPr>
          <w:p>
            <w:pPr>
              <w:jc w:val="center"/>
              <w:rPr>
                <w:color w:val="000000"/>
                <w:sz w:val="20"/>
                <w:szCs w:val="20"/>
              </w:rPr>
            </w:pPr>
            <w:r>
              <w:rPr>
                <w:color w:val="000000"/>
                <w:sz w:val="20"/>
                <w:szCs w:val="20"/>
              </w:rPr>
              <w:t>2024</w:t>
            </w:r>
            <w:r>
              <w:rPr>
                <w:rFonts w:hint="eastAsia" w:ascii="华文楷体" w:hAnsi="华文楷体" w:eastAsia="华文楷体"/>
                <w:color w:val="000000"/>
                <w:sz w:val="20"/>
                <w:szCs w:val="20"/>
              </w:rPr>
              <w:t>年</w:t>
            </w:r>
            <w:r>
              <w:rPr>
                <w:color w:val="000000"/>
                <w:sz w:val="20"/>
                <w:szCs w:val="20"/>
              </w:rPr>
              <w:t>11</w:t>
            </w:r>
            <w:r>
              <w:rPr>
                <w:rFonts w:hint="eastAsia" w:ascii="华文楷体" w:hAnsi="华文楷体" w:eastAsia="华文楷体"/>
                <w:color w:val="000000"/>
                <w:sz w:val="20"/>
                <w:szCs w:val="20"/>
              </w:rPr>
              <w:t>月</w:t>
            </w:r>
            <w:r>
              <w:rPr>
                <w:color w:val="000000"/>
                <w:sz w:val="20"/>
                <w:szCs w:val="20"/>
              </w:rPr>
              <w:t>12</w:t>
            </w:r>
            <w:r>
              <w:rPr>
                <w:rFonts w:hint="eastAsia" w:ascii="华文楷体" w:hAnsi="华文楷体" w:eastAsia="华文楷体"/>
                <w:color w:val="000000"/>
                <w:sz w:val="20"/>
                <w:szCs w:val="20"/>
              </w:rPr>
              <w:t>日，</w:t>
            </w:r>
            <w:r>
              <w:rPr>
                <w:color w:val="000000"/>
                <w:sz w:val="20"/>
                <w:szCs w:val="20"/>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jc w:val="left"/>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其中：后续赎回日期（如果有）</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不适用</w:t>
            </w:r>
          </w:p>
        </w:tc>
        <w:tc>
          <w:tcPr>
            <w:tcW w:w="2596" w:type="dxa"/>
            <w:noWrap w:val="0"/>
            <w:vAlign w:val="center"/>
          </w:tcPr>
          <w:p>
            <w:pPr>
              <w:rPr>
                <w:rFonts w:ascii="华文楷体" w:hAnsi="华文楷体" w:eastAsia="华文楷体"/>
                <w:color w:val="000000"/>
                <w:sz w:val="20"/>
                <w:szCs w:val="20"/>
              </w:rPr>
            </w:pPr>
            <w:r>
              <w:rPr>
                <w:rFonts w:hint="eastAsia" w:ascii="华文楷体" w:hAnsi="华文楷体" w:eastAsia="华文楷体"/>
                <w:color w:val="000000"/>
                <w:sz w:val="20"/>
                <w:szCs w:val="20"/>
              </w:rPr>
              <w:t>自发行之日起5年后，经中国银监会批准并符合相关要求，本公司有权赎回全部或部分本次优先股</w:t>
            </w:r>
          </w:p>
        </w:tc>
        <w:tc>
          <w:tcPr>
            <w:tcW w:w="2032" w:type="dxa"/>
            <w:noWrap w:val="0"/>
            <w:vAlign w:val="center"/>
          </w:tcPr>
          <w:p>
            <w:pPr>
              <w:jc w:val="center"/>
              <w:rPr>
                <w:rFonts w:ascii="华文楷体" w:hAnsi="华文楷体" w:eastAsia="华文楷体" w:cs="宋体"/>
                <w:color w:val="000000"/>
                <w:sz w:val="20"/>
                <w:szCs w:val="20"/>
              </w:rPr>
            </w:pPr>
            <w:r>
              <w:rPr>
                <w:rFonts w:hint="eastAsia" w:ascii="华文楷体" w:hAnsi="华文楷体" w:eastAsia="华文楷体"/>
                <w:color w:val="000000"/>
                <w:sz w:val="20"/>
                <w:szCs w:val="2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分红或派息</w:t>
            </w:r>
          </w:p>
        </w:tc>
        <w:tc>
          <w:tcPr>
            <w:tcW w:w="1638" w:type="dxa"/>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596" w:type="dxa"/>
            <w:noWrap w:val="0"/>
            <w:vAlign w:val="top"/>
          </w:tcPr>
          <w:p>
            <w:pPr>
              <w:widowControl/>
              <w:jc w:val="center"/>
              <w:rPr>
                <w:rFonts w:ascii="宋体" w:hAnsi="宋体" w:cs="宋体"/>
                <w:color w:val="000000"/>
                <w:kern w:val="0"/>
                <w:sz w:val="22"/>
              </w:rPr>
            </w:pPr>
          </w:p>
        </w:tc>
        <w:tc>
          <w:tcPr>
            <w:tcW w:w="2032" w:type="dxa"/>
            <w:noWrap w:val="0"/>
            <w:vAlign w:val="center"/>
          </w:tcPr>
          <w:p>
            <w:pPr>
              <w:jc w:val="center"/>
              <w:rPr>
                <w:rFonts w:ascii="宋体" w:hAnsi="宋体"/>
                <w:color w:val="000000"/>
                <w:sz w:val="22"/>
              </w:rPr>
            </w:pPr>
            <w:r>
              <w:rPr>
                <w:rFonts w:hint="eastAsia" w:ascii="Calibri" w:hAnsi="Calibri"/>
                <w:color w:val="00000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jc w:val="left"/>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其中：固定或浮动派息</w:t>
            </w:r>
            <w:r>
              <w:rPr>
                <w:rFonts w:eastAsia="华文楷体"/>
                <w:color w:val="000000"/>
                <w:kern w:val="0"/>
                <w:sz w:val="20"/>
                <w:szCs w:val="20"/>
              </w:rPr>
              <w:t>/</w:t>
            </w:r>
            <w:r>
              <w:rPr>
                <w:rFonts w:hint="eastAsia" w:ascii="华文楷体" w:hAnsi="华文楷体" w:eastAsia="华文楷体" w:cs="宋体"/>
                <w:color w:val="000000"/>
                <w:kern w:val="0"/>
                <w:sz w:val="20"/>
                <w:szCs w:val="20"/>
              </w:rPr>
              <w:t>分红</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浮动分红</w:t>
            </w:r>
          </w:p>
        </w:tc>
        <w:tc>
          <w:tcPr>
            <w:tcW w:w="2596" w:type="dxa"/>
            <w:noWrap w:val="0"/>
            <w:vAlign w:val="center"/>
          </w:tcPr>
          <w:p>
            <w:pPr>
              <w:widowControl/>
              <w:jc w:val="left"/>
              <w:rPr>
                <w:rFonts w:ascii="华文楷体" w:hAnsi="华文楷体" w:eastAsia="华文楷体"/>
                <w:color w:val="000000"/>
                <w:kern w:val="0"/>
                <w:sz w:val="20"/>
                <w:szCs w:val="20"/>
              </w:rPr>
            </w:pPr>
            <w:r>
              <w:rPr>
                <w:rFonts w:hint="eastAsia" w:ascii="华文楷体" w:hAnsi="华文楷体" w:eastAsia="华文楷体"/>
                <w:color w:val="000000"/>
                <w:sz w:val="20"/>
                <w:szCs w:val="20"/>
              </w:rPr>
              <w:t>票面股息率为基准利率加固定溢价，采用分阶段调整，即一个股息率调整期内以约定的相同股息率支付股息，随后每隔5年重置一次</w:t>
            </w:r>
          </w:p>
        </w:tc>
        <w:tc>
          <w:tcPr>
            <w:tcW w:w="2032"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固定派息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jc w:val="left"/>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其中：票面利率及相关指标</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不适用</w:t>
            </w:r>
          </w:p>
        </w:tc>
        <w:tc>
          <w:tcPr>
            <w:tcW w:w="2596"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首个股息率调整周期股息率为5.20%</w:t>
            </w:r>
          </w:p>
        </w:tc>
        <w:tc>
          <w:tcPr>
            <w:tcW w:w="2032" w:type="dxa"/>
            <w:noWrap w:val="0"/>
            <w:vAlign w:val="center"/>
          </w:tcPr>
          <w:p>
            <w:pPr>
              <w:jc w:val="center"/>
              <w:rPr>
                <w:color w:val="000000"/>
                <w:sz w:val="20"/>
                <w:szCs w:val="20"/>
              </w:rPr>
            </w:pPr>
            <w:r>
              <w:rPr>
                <w:color w:val="000000"/>
                <w:sz w:val="20"/>
                <w:szCs w:val="20"/>
              </w:rPr>
              <w:t>4.18%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247" w:type="dxa"/>
            <w:noWrap/>
            <w:vAlign w:val="center"/>
          </w:tcPr>
          <w:p>
            <w:pPr>
              <w:widowControl/>
              <w:jc w:val="left"/>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其中：是否存在股息制动机制</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否</w:t>
            </w:r>
          </w:p>
        </w:tc>
        <w:tc>
          <w:tcPr>
            <w:tcW w:w="2596"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是</w:t>
            </w:r>
          </w:p>
        </w:tc>
        <w:tc>
          <w:tcPr>
            <w:tcW w:w="2032" w:type="dxa"/>
            <w:noWrap w:val="0"/>
            <w:vAlign w:val="center"/>
          </w:tcPr>
          <w:p>
            <w:pPr>
              <w:jc w:val="center"/>
              <w:rPr>
                <w:rFonts w:ascii="华文楷体" w:hAnsi="华文楷体" w:eastAsia="华文楷体" w:cs="宋体"/>
                <w:color w:val="000000"/>
                <w:sz w:val="20"/>
                <w:szCs w:val="20"/>
              </w:rPr>
            </w:pPr>
            <w:r>
              <w:rPr>
                <w:rFonts w:hint="eastAsia" w:ascii="华文楷体" w:hAnsi="华文楷体" w:eastAsia="华文楷体"/>
                <w:color w:val="00000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jc w:val="left"/>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其中：是否可自主取消分红或派息</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完全自由裁量</w:t>
            </w:r>
          </w:p>
        </w:tc>
        <w:tc>
          <w:tcPr>
            <w:tcW w:w="2596"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是</w:t>
            </w:r>
          </w:p>
        </w:tc>
        <w:tc>
          <w:tcPr>
            <w:tcW w:w="2032"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无自由裁量权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jc w:val="left"/>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其中：是否有赎回激励机制</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否</w:t>
            </w:r>
          </w:p>
        </w:tc>
        <w:tc>
          <w:tcPr>
            <w:tcW w:w="2596"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否</w:t>
            </w:r>
          </w:p>
        </w:tc>
        <w:tc>
          <w:tcPr>
            <w:tcW w:w="2032"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jc w:val="left"/>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其中：累计或非累计</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非累计</w:t>
            </w:r>
          </w:p>
        </w:tc>
        <w:tc>
          <w:tcPr>
            <w:tcW w:w="2596"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非累计</w:t>
            </w:r>
          </w:p>
        </w:tc>
        <w:tc>
          <w:tcPr>
            <w:tcW w:w="2032"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非累计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是否可转股</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不适用</w:t>
            </w:r>
          </w:p>
        </w:tc>
        <w:tc>
          <w:tcPr>
            <w:tcW w:w="2596" w:type="dxa"/>
            <w:noWrap w:val="0"/>
            <w:vAlign w:val="center"/>
          </w:tcPr>
          <w:p>
            <w:pPr>
              <w:widowControl/>
              <w:jc w:val="center"/>
              <w:rPr>
                <w:rFonts w:ascii="华文楷体" w:hAnsi="华文楷体" w:eastAsia="华文楷体"/>
                <w:color w:val="000000"/>
                <w:kern w:val="0"/>
                <w:sz w:val="20"/>
                <w:szCs w:val="20"/>
              </w:rPr>
            </w:pPr>
            <w:r>
              <w:rPr>
                <w:rFonts w:hint="eastAsia" w:ascii="华文楷体" w:hAnsi="华文楷体" w:eastAsia="华文楷体"/>
                <w:color w:val="000000"/>
                <w:sz w:val="20"/>
                <w:szCs w:val="20"/>
              </w:rPr>
              <w:t>是</w:t>
            </w:r>
          </w:p>
        </w:tc>
        <w:tc>
          <w:tcPr>
            <w:tcW w:w="2032"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jc w:val="left"/>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其中：若可转股，则说明转换触发条件</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不适用</w:t>
            </w:r>
          </w:p>
        </w:tc>
        <w:tc>
          <w:tcPr>
            <w:tcW w:w="2596"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其他一级资本工具触发事件或二级资本工具触发事件</w:t>
            </w:r>
          </w:p>
        </w:tc>
        <w:tc>
          <w:tcPr>
            <w:tcW w:w="2032"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jc w:val="left"/>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其中：若可转股，则说明全部转股还是部分转股</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不适用</w:t>
            </w:r>
          </w:p>
        </w:tc>
        <w:tc>
          <w:tcPr>
            <w:tcW w:w="2596" w:type="dxa"/>
            <w:noWrap w:val="0"/>
            <w:vAlign w:val="center"/>
          </w:tcPr>
          <w:p>
            <w:pPr>
              <w:jc w:val="left"/>
              <w:rPr>
                <w:rFonts w:ascii="华文楷体" w:hAnsi="华文楷体" w:eastAsia="华文楷体"/>
                <w:color w:val="000000"/>
                <w:sz w:val="20"/>
                <w:szCs w:val="20"/>
              </w:rPr>
            </w:pPr>
            <w:r>
              <w:rPr>
                <w:rFonts w:hint="eastAsia" w:ascii="华文楷体" w:hAnsi="华文楷体" w:eastAsia="华文楷体"/>
                <w:color w:val="000000"/>
                <w:sz w:val="20"/>
                <w:szCs w:val="20"/>
              </w:rPr>
              <w:t>其他一级资本工具触发事件发生时可全部或部分转股。二级资本工具触发事件发生时全部转股</w:t>
            </w:r>
          </w:p>
        </w:tc>
        <w:tc>
          <w:tcPr>
            <w:tcW w:w="2032"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jc w:val="left"/>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其中：若可转股，则说明转换价格确定方式</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不适用</w:t>
            </w:r>
          </w:p>
        </w:tc>
        <w:tc>
          <w:tcPr>
            <w:tcW w:w="2596" w:type="dxa"/>
            <w:noWrap w:val="0"/>
            <w:vAlign w:val="center"/>
          </w:tcPr>
          <w:p>
            <w:pPr>
              <w:jc w:val="left"/>
              <w:rPr>
                <w:rFonts w:ascii="华文楷体" w:hAnsi="华文楷体" w:eastAsia="华文楷体"/>
                <w:color w:val="000000"/>
                <w:sz w:val="20"/>
                <w:szCs w:val="20"/>
              </w:rPr>
            </w:pPr>
            <w:r>
              <w:rPr>
                <w:rFonts w:hint="eastAsia" w:ascii="华文楷体" w:hAnsi="华文楷体" w:eastAsia="华文楷体"/>
                <w:color w:val="000000"/>
                <w:sz w:val="20"/>
                <w:szCs w:val="20"/>
              </w:rPr>
              <w:t>以审议本次优先股发行的董事会决议公告日前二十个交易日本行A股普通股股票交易均价为初始转股价格</w:t>
            </w:r>
          </w:p>
        </w:tc>
        <w:tc>
          <w:tcPr>
            <w:tcW w:w="2032"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jc w:val="left"/>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其中：若可转股，则说明是否为强制性转换</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不适用</w:t>
            </w:r>
          </w:p>
        </w:tc>
        <w:tc>
          <w:tcPr>
            <w:tcW w:w="2596" w:type="dxa"/>
            <w:noWrap w:val="0"/>
            <w:vAlign w:val="center"/>
          </w:tcPr>
          <w:p>
            <w:pPr>
              <w:widowControl/>
              <w:jc w:val="center"/>
              <w:rPr>
                <w:rFonts w:ascii="华文楷体" w:hAnsi="华文楷体" w:eastAsia="华文楷体"/>
                <w:color w:val="000000"/>
                <w:kern w:val="0"/>
                <w:sz w:val="20"/>
                <w:szCs w:val="20"/>
              </w:rPr>
            </w:pPr>
            <w:r>
              <w:rPr>
                <w:rFonts w:hint="eastAsia" w:ascii="华文楷体" w:hAnsi="华文楷体" w:eastAsia="华文楷体"/>
                <w:color w:val="000000"/>
                <w:sz w:val="20"/>
                <w:szCs w:val="20"/>
              </w:rPr>
              <w:t>是</w:t>
            </w:r>
          </w:p>
        </w:tc>
        <w:tc>
          <w:tcPr>
            <w:tcW w:w="2032"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jc w:val="left"/>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其中：若可转股，则说明转换后工具类型</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不适用</w:t>
            </w:r>
          </w:p>
        </w:tc>
        <w:tc>
          <w:tcPr>
            <w:tcW w:w="2596"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核心一级资本</w:t>
            </w:r>
          </w:p>
        </w:tc>
        <w:tc>
          <w:tcPr>
            <w:tcW w:w="2032"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jc w:val="left"/>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其中：若可转股，则说明转换后工具的发行人</w:t>
            </w:r>
          </w:p>
        </w:tc>
        <w:tc>
          <w:tcPr>
            <w:tcW w:w="1638" w:type="dxa"/>
            <w:noWrap/>
            <w:vAlign w:val="center"/>
          </w:tcPr>
          <w:p>
            <w:pPr>
              <w:widowControl/>
              <w:jc w:val="center"/>
              <w:rPr>
                <w:rFonts w:ascii="宋体" w:hAnsi="宋体" w:cs="宋体"/>
                <w:color w:val="000000"/>
                <w:kern w:val="0"/>
                <w:sz w:val="22"/>
              </w:rPr>
            </w:pPr>
            <w:r>
              <w:rPr>
                <w:rFonts w:hint="eastAsia" w:ascii="宋体" w:hAnsi="宋体" w:cs="宋体"/>
                <w:color w:val="000000"/>
                <w:kern w:val="0"/>
                <w:sz w:val="22"/>
              </w:rPr>
              <w:t>　</w:t>
            </w:r>
          </w:p>
        </w:tc>
        <w:tc>
          <w:tcPr>
            <w:tcW w:w="2596"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上海银行</w:t>
            </w:r>
          </w:p>
        </w:tc>
        <w:tc>
          <w:tcPr>
            <w:tcW w:w="2032"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是否减记</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不适用</w:t>
            </w:r>
          </w:p>
        </w:tc>
        <w:tc>
          <w:tcPr>
            <w:tcW w:w="2596"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不适用</w:t>
            </w:r>
          </w:p>
        </w:tc>
        <w:tc>
          <w:tcPr>
            <w:tcW w:w="2032"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jc w:val="left"/>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其中：若减记，则说明减记触发点</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不适用</w:t>
            </w:r>
          </w:p>
        </w:tc>
        <w:tc>
          <w:tcPr>
            <w:tcW w:w="2596"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不适用</w:t>
            </w:r>
          </w:p>
        </w:tc>
        <w:tc>
          <w:tcPr>
            <w:tcW w:w="2032"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本行无法生存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jc w:val="left"/>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其中：若减记，则说明部分减记还是全部减记</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不适用</w:t>
            </w:r>
          </w:p>
        </w:tc>
        <w:tc>
          <w:tcPr>
            <w:tcW w:w="2596"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不适用</w:t>
            </w:r>
          </w:p>
        </w:tc>
        <w:tc>
          <w:tcPr>
            <w:tcW w:w="2032"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全部减记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jc w:val="left"/>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其中：若减记，则说明永久减记还是暂时减记</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不适用</w:t>
            </w:r>
          </w:p>
        </w:tc>
        <w:tc>
          <w:tcPr>
            <w:tcW w:w="2596"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不适用</w:t>
            </w:r>
          </w:p>
        </w:tc>
        <w:tc>
          <w:tcPr>
            <w:tcW w:w="2032"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永久减记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jc w:val="left"/>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其中：若暂时减记，则说明账面价值恢复机制</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不适用</w:t>
            </w:r>
          </w:p>
        </w:tc>
        <w:tc>
          <w:tcPr>
            <w:tcW w:w="2596"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不适用</w:t>
            </w:r>
          </w:p>
        </w:tc>
        <w:tc>
          <w:tcPr>
            <w:tcW w:w="2032"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247" w:type="dxa"/>
            <w:noWrap/>
            <w:vAlign w:val="center"/>
          </w:tcPr>
          <w:p>
            <w:pPr>
              <w:widowControl/>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清算时清偿顺序（说明清偿顺序更高级的工具类型）</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最后</w:t>
            </w:r>
          </w:p>
        </w:tc>
        <w:tc>
          <w:tcPr>
            <w:tcW w:w="2596" w:type="dxa"/>
            <w:noWrap w:val="0"/>
            <w:vAlign w:val="center"/>
          </w:tcPr>
          <w:p>
            <w:pPr>
              <w:widowControl/>
              <w:jc w:val="center"/>
              <w:rPr>
                <w:rFonts w:ascii="华文楷体" w:hAnsi="华文楷体" w:eastAsia="华文楷体"/>
                <w:color w:val="000000"/>
                <w:kern w:val="0"/>
                <w:sz w:val="20"/>
                <w:szCs w:val="20"/>
              </w:rPr>
            </w:pPr>
            <w:r>
              <w:rPr>
                <w:rFonts w:hint="eastAsia" w:ascii="华文楷体" w:hAnsi="华文楷体" w:eastAsia="华文楷体"/>
                <w:color w:val="000000"/>
                <w:sz w:val="20"/>
                <w:szCs w:val="20"/>
              </w:rPr>
              <w:t>在存款人、一般债权和二级资本工具之后，普通股之前</w:t>
            </w:r>
          </w:p>
        </w:tc>
        <w:tc>
          <w:tcPr>
            <w:tcW w:w="2032" w:type="dxa"/>
            <w:noWrap w:val="0"/>
            <w:vAlign w:val="center"/>
          </w:tcPr>
          <w:p>
            <w:pPr>
              <w:spacing w:line="280" w:lineRule="exact"/>
              <w:rPr>
                <w:rFonts w:ascii="华文楷体" w:hAnsi="华文楷体" w:eastAsia="华文楷体"/>
                <w:color w:val="000000"/>
                <w:sz w:val="20"/>
                <w:szCs w:val="20"/>
              </w:rPr>
            </w:pPr>
            <w:r>
              <w:rPr>
                <w:rFonts w:hint="eastAsia" w:ascii="华文楷体" w:hAnsi="华文楷体" w:eastAsia="华文楷体"/>
                <w:color w:val="000000"/>
                <w:sz w:val="20"/>
                <w:szCs w:val="20"/>
              </w:rPr>
              <w:t>在存款人和一般债权人之后，股权资本、其他一级资本工具和混合资本债券之前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3247" w:type="dxa"/>
            <w:noWrap/>
            <w:vAlign w:val="center"/>
          </w:tcPr>
          <w:p>
            <w:pPr>
              <w:widowControl/>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是否含有暂时的不合格特征</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否</w:t>
            </w:r>
          </w:p>
        </w:tc>
        <w:tc>
          <w:tcPr>
            <w:tcW w:w="2596"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否</w:t>
            </w:r>
          </w:p>
        </w:tc>
        <w:tc>
          <w:tcPr>
            <w:tcW w:w="2032"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47" w:type="dxa"/>
            <w:noWrap/>
            <w:vAlign w:val="center"/>
          </w:tcPr>
          <w:p>
            <w:pPr>
              <w:widowControl/>
              <w:jc w:val="left"/>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其中：若有，则说明该特征</w:t>
            </w:r>
          </w:p>
        </w:tc>
        <w:tc>
          <w:tcPr>
            <w:tcW w:w="1638" w:type="dxa"/>
            <w:noWrap/>
            <w:vAlign w:val="center"/>
          </w:tcPr>
          <w:p>
            <w:pPr>
              <w:widowControl/>
              <w:jc w:val="center"/>
              <w:rPr>
                <w:rFonts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不适用</w:t>
            </w:r>
          </w:p>
        </w:tc>
        <w:tc>
          <w:tcPr>
            <w:tcW w:w="2596"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不适用</w:t>
            </w:r>
          </w:p>
        </w:tc>
        <w:tc>
          <w:tcPr>
            <w:tcW w:w="2032" w:type="dxa"/>
            <w:noWrap w:val="0"/>
            <w:vAlign w:val="center"/>
          </w:tcPr>
          <w:p>
            <w:pPr>
              <w:jc w:val="center"/>
              <w:rPr>
                <w:rFonts w:ascii="华文楷体" w:hAnsi="华文楷体" w:eastAsia="华文楷体"/>
                <w:color w:val="000000"/>
                <w:sz w:val="20"/>
                <w:szCs w:val="20"/>
              </w:rPr>
            </w:pPr>
            <w:r>
              <w:rPr>
                <w:rFonts w:hint="eastAsia" w:ascii="华文楷体" w:hAnsi="华文楷体" w:eastAsia="华文楷体"/>
                <w:color w:val="000000"/>
                <w:sz w:val="20"/>
                <w:szCs w:val="20"/>
              </w:rPr>
              <w:t>不适用</w:t>
            </w:r>
          </w:p>
        </w:tc>
      </w:tr>
    </w:tbl>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76DE6"/>
    <w:rsid w:val="0CC57EA3"/>
    <w:rsid w:val="17E963BA"/>
    <w:rsid w:val="1B8D1EC1"/>
    <w:rsid w:val="3A533246"/>
    <w:rsid w:val="55776DE6"/>
    <w:rsid w:val="74237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9"/>
    <w:pPr>
      <w:spacing w:line="460" w:lineRule="exact"/>
      <w:ind w:firstLine="562" w:firstLineChars="200"/>
      <w:outlineLvl w:val="0"/>
    </w:pPr>
    <w:rPr>
      <w:rFonts w:ascii="仿宋_GB2312" w:hAnsi="微软雅黑" w:eastAsia="仿宋_GB2312" w:cs="微软雅黑"/>
      <w:b/>
      <w:sz w:val="28"/>
      <w:szCs w:val="28"/>
    </w:rPr>
  </w:style>
  <w:style w:type="paragraph" w:styleId="3">
    <w:name w:val="heading 2"/>
    <w:basedOn w:val="1"/>
    <w:next w:val="1"/>
    <w:qFormat/>
    <w:uiPriority w:val="9"/>
    <w:pPr>
      <w:spacing w:line="460" w:lineRule="exact"/>
      <w:ind w:firstLine="562" w:firstLineChars="200"/>
      <w:outlineLvl w:val="1"/>
    </w:pPr>
    <w:rPr>
      <w:rFonts w:ascii="仿宋_GB2312" w:eastAsia="仿宋_GB2312"/>
      <w:b/>
      <w:sz w:val="28"/>
      <w:szCs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toc 1"/>
    <w:basedOn w:val="1"/>
    <w:next w:val="1"/>
    <w:unhideWhenUsed/>
    <w:qFormat/>
    <w:uiPriority w:val="39"/>
    <w:pPr>
      <w:widowControl/>
      <w:spacing w:after="100" w:line="276" w:lineRule="auto"/>
      <w:jc w:val="left"/>
    </w:pPr>
    <w:rPr>
      <w:rFonts w:ascii="Calibri" w:hAnsi="Calibri" w:eastAsia="宋体" w:cs="Times New Roman"/>
      <w:kern w:val="0"/>
      <w:sz w:val="22"/>
    </w:rPr>
  </w:style>
  <w:style w:type="paragraph" w:styleId="5">
    <w:name w:val="toc 2"/>
    <w:basedOn w:val="1"/>
    <w:next w:val="1"/>
    <w:unhideWhenUsed/>
    <w:qFormat/>
    <w:uiPriority w:val="39"/>
    <w:pPr>
      <w:widowControl/>
      <w:tabs>
        <w:tab w:val="right" w:leader="dot" w:pos="8948"/>
      </w:tabs>
      <w:spacing w:after="100" w:line="520" w:lineRule="exact"/>
      <w:ind w:left="221"/>
      <w:jc w:val="left"/>
    </w:pPr>
    <w:rPr>
      <w:rFonts w:ascii="Calibri" w:hAnsi="Calibri" w:eastAsia="宋体" w:cs="Times New Roman"/>
      <w:kern w:val="0"/>
      <w:sz w:val="22"/>
    </w:rPr>
  </w:style>
  <w:style w:type="character" w:styleId="8">
    <w:name w:val="Hyperlink"/>
    <w:unhideWhenUsed/>
    <w:uiPriority w:val="99"/>
    <w:rPr>
      <w:color w:val="0563C1"/>
      <w:u w:val="single"/>
    </w:rPr>
  </w:style>
  <w:style w:type="paragraph" w:customStyle="1" w:styleId="9">
    <w:name w:val="_Style 4"/>
    <w:basedOn w:val="2"/>
    <w:next w:val="1"/>
    <w:qFormat/>
    <w:uiPriority w:val="39"/>
    <w:pPr>
      <w:keepNext/>
      <w:keepLines/>
      <w:widowControl/>
      <w:spacing w:before="480" w:line="276" w:lineRule="auto"/>
      <w:ind w:firstLine="0" w:firstLineChars="0"/>
      <w:jc w:val="left"/>
      <w:outlineLvl w:val="9"/>
    </w:pPr>
    <w:rPr>
      <w:rFonts w:ascii="Calibri Light" w:hAnsi="Calibri Light" w:eastAsia="宋体" w:cs="Times New Roman"/>
      <w:bCs/>
      <w:color w:val="2E74B5"/>
      <w:kern w:val="0"/>
    </w:rPr>
  </w:style>
  <w:style w:type="paragraph" w:styleId="10">
    <w:name w:val="No Spacing"/>
    <w:qFormat/>
    <w:uiPriority w:val="1"/>
    <w:pPr>
      <w:widowControl w:val="0"/>
      <w:spacing w:line="320" w:lineRule="exact"/>
      <w:ind w:firstLine="200" w:firstLineChars="200"/>
      <w:jc w:val="both"/>
    </w:pPr>
    <w:rPr>
      <w:rFonts w:ascii="等线" w:hAnsi="等线" w:eastAsia="微软雅黑" w:cs="Times New Roman"/>
      <w:color w:val="000000"/>
      <w:kern w:val="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2022-08-10T07:59:00Z</dcterms:created>
  <dc:creator>李函</dc:creator>
  <cp:lastModifiedBy>李函</cp:lastModifiedBy>
  <dcterms:modified xsi:type="dcterms:W3CDTF">2022-08-11T01:39:57Z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